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19" w:rsidRDefault="00105619" w:rsidP="001056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5619" w:rsidRDefault="00105619" w:rsidP="00105619">
      <w:pPr>
        <w:widowControl w:val="0"/>
        <w:autoSpaceDE w:val="0"/>
        <w:autoSpaceDN w:val="0"/>
        <w:adjustRightInd w:val="0"/>
        <w:jc w:val="center"/>
      </w:pPr>
      <w:r>
        <w:t>PART 10</w:t>
      </w:r>
    </w:p>
    <w:p w:rsidR="00105619" w:rsidRDefault="00105619" w:rsidP="00105619">
      <w:pPr>
        <w:widowControl w:val="0"/>
        <w:autoSpaceDE w:val="0"/>
        <w:autoSpaceDN w:val="0"/>
        <w:adjustRightInd w:val="0"/>
        <w:jc w:val="center"/>
      </w:pPr>
      <w:r>
        <w:t>REVIEW AND APPEAL PROCEDURES (REPEALED)</w:t>
      </w:r>
    </w:p>
    <w:sectPr w:rsidR="00105619" w:rsidSect="001056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619"/>
    <w:rsid w:val="00105619"/>
    <w:rsid w:val="001B6A7D"/>
    <w:rsid w:val="005C3366"/>
    <w:rsid w:val="00902608"/>
    <w:rsid w:val="00F0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</vt:lpstr>
    </vt:vector>
  </TitlesOfParts>
  <Company>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