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CA" w:rsidRDefault="002E63CA" w:rsidP="002E63CA">
      <w:pPr>
        <w:widowControl w:val="0"/>
        <w:autoSpaceDE w:val="0"/>
        <w:autoSpaceDN w:val="0"/>
        <w:adjustRightInd w:val="0"/>
      </w:pPr>
      <w:bookmarkStart w:id="0" w:name="_GoBack"/>
      <w:bookmarkEnd w:id="0"/>
    </w:p>
    <w:p w:rsidR="002E63CA" w:rsidRDefault="002E63CA" w:rsidP="002E63CA">
      <w:pPr>
        <w:widowControl w:val="0"/>
        <w:autoSpaceDE w:val="0"/>
        <w:autoSpaceDN w:val="0"/>
        <w:adjustRightInd w:val="0"/>
      </w:pPr>
      <w:r>
        <w:rPr>
          <w:b/>
          <w:bCs/>
        </w:rPr>
        <w:t>Section 220.305  Targeted Area Residences</w:t>
      </w:r>
      <w:r>
        <w:t xml:space="preserve"> </w:t>
      </w:r>
    </w:p>
    <w:p w:rsidR="002E63CA" w:rsidRDefault="002E63CA" w:rsidP="002E63CA">
      <w:pPr>
        <w:widowControl w:val="0"/>
        <w:autoSpaceDE w:val="0"/>
        <w:autoSpaceDN w:val="0"/>
        <w:adjustRightInd w:val="0"/>
      </w:pPr>
    </w:p>
    <w:p w:rsidR="002E63CA" w:rsidRDefault="002E63CA" w:rsidP="002E63CA">
      <w:pPr>
        <w:widowControl w:val="0"/>
        <w:autoSpaceDE w:val="0"/>
        <w:autoSpaceDN w:val="0"/>
        <w:adjustRightInd w:val="0"/>
      </w:pPr>
      <w:r>
        <w:t xml:space="preserve">The Authority shall comply with Section 103A of the Internal Revenue Code of 1954 as amended from time to time and applicable regulations promulgated by the Treasury Department thereunder or other applicable federal law regarding the purchase of Mortgage Loans on Targeted Area Residences. </w:t>
      </w:r>
    </w:p>
    <w:sectPr w:rsidR="002E63CA" w:rsidSect="002E63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3CA"/>
    <w:rsid w:val="002967CE"/>
    <w:rsid w:val="002E63CA"/>
    <w:rsid w:val="00364849"/>
    <w:rsid w:val="005C3366"/>
    <w:rsid w:val="00872F00"/>
    <w:rsid w:val="00F4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