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FD" w:rsidRDefault="00FC48FD" w:rsidP="00FC48FD">
      <w:pPr>
        <w:widowControl w:val="0"/>
        <w:autoSpaceDE w:val="0"/>
        <w:autoSpaceDN w:val="0"/>
        <w:adjustRightInd w:val="0"/>
      </w:pPr>
      <w:bookmarkStart w:id="0" w:name="_GoBack"/>
      <w:bookmarkEnd w:id="0"/>
    </w:p>
    <w:p w:rsidR="00FC48FD" w:rsidRDefault="00FC48FD" w:rsidP="00FC48FD">
      <w:pPr>
        <w:widowControl w:val="0"/>
        <w:autoSpaceDE w:val="0"/>
        <w:autoSpaceDN w:val="0"/>
        <w:adjustRightInd w:val="0"/>
      </w:pPr>
      <w:r>
        <w:rPr>
          <w:b/>
          <w:bCs/>
        </w:rPr>
        <w:t>Section 250.307  Arbitrage and Investment Gains</w:t>
      </w:r>
      <w:r>
        <w:t xml:space="preserve"> </w:t>
      </w:r>
    </w:p>
    <w:p w:rsidR="00FC48FD" w:rsidRDefault="00FC48FD" w:rsidP="00FC48FD">
      <w:pPr>
        <w:widowControl w:val="0"/>
        <w:autoSpaceDE w:val="0"/>
        <w:autoSpaceDN w:val="0"/>
        <w:adjustRightInd w:val="0"/>
      </w:pPr>
    </w:p>
    <w:p w:rsidR="00FC48FD" w:rsidRDefault="00FC48FD" w:rsidP="00FC48FD">
      <w:pPr>
        <w:widowControl w:val="0"/>
        <w:autoSpaceDE w:val="0"/>
        <w:autoSpaceDN w:val="0"/>
        <w:adjustRightInd w:val="0"/>
      </w:pPr>
      <w:r>
        <w:t xml:space="preserve">Arbitrage and investment gains, if any, shall be paid, expedited, or accounted for as required by Section 103A of the Internal Revenue Code of 1954, 26 U.S.C. Section 103A, as amended from time to time and applicable regulations promulgated by the Treasury Department thereunder. </w:t>
      </w:r>
    </w:p>
    <w:sectPr w:rsidR="00FC48FD" w:rsidSect="00FC48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48FD"/>
    <w:rsid w:val="001C101C"/>
    <w:rsid w:val="005C3366"/>
    <w:rsid w:val="00A50C8B"/>
    <w:rsid w:val="00C52E3E"/>
    <w:rsid w:val="00E33B11"/>
    <w:rsid w:val="00FC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