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60" w:rsidRDefault="00E83060" w:rsidP="00E83060">
      <w:pPr>
        <w:rPr>
          <w:b/>
        </w:rPr>
      </w:pPr>
      <w:bookmarkStart w:id="0" w:name="_GoBack"/>
      <w:bookmarkEnd w:id="0"/>
    </w:p>
    <w:p w:rsidR="00E96658" w:rsidRPr="00E83060" w:rsidRDefault="00E96658" w:rsidP="00E83060">
      <w:pPr>
        <w:rPr>
          <w:b/>
        </w:rPr>
      </w:pPr>
      <w:r w:rsidRPr="00E83060">
        <w:rPr>
          <w:b/>
        </w:rPr>
        <w:t>Section 300.105  Compliance with Federal Law</w:t>
      </w:r>
    </w:p>
    <w:p w:rsidR="00E96658" w:rsidRPr="00E83060" w:rsidRDefault="00E96658" w:rsidP="00E83060"/>
    <w:p w:rsidR="00E96658" w:rsidRPr="00E83060" w:rsidRDefault="00E96658" w:rsidP="00E83060">
      <w:r w:rsidRPr="00E83060">
        <w:t xml:space="preserve">Notwithstanding anything in this Part to the contrary, this Part shall be construed in conformity and compliance with applicable federal law, including, without limit, </w:t>
      </w:r>
      <w:r w:rsidR="00042723">
        <w:t>s</w:t>
      </w:r>
      <w:r w:rsidRPr="00E83060">
        <w:t>ection 143 of the Code to the extent applicable.</w:t>
      </w:r>
    </w:p>
    <w:sectPr w:rsidR="00E96658" w:rsidRPr="00E830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30" w:rsidRDefault="00463730">
      <w:r>
        <w:separator/>
      </w:r>
    </w:p>
  </w:endnote>
  <w:endnote w:type="continuationSeparator" w:id="0">
    <w:p w:rsidR="00463730" w:rsidRDefault="0046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30" w:rsidRDefault="00463730">
      <w:r>
        <w:separator/>
      </w:r>
    </w:p>
  </w:footnote>
  <w:footnote w:type="continuationSeparator" w:id="0">
    <w:p w:rsidR="00463730" w:rsidRDefault="0046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65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723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16AA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11DA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750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4B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A6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73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36A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060"/>
    <w:rsid w:val="00E840DC"/>
    <w:rsid w:val="00E8439B"/>
    <w:rsid w:val="00E92947"/>
    <w:rsid w:val="00E96658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E96658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E96658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E96658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E96658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