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D7" w:rsidRDefault="004A55D7" w:rsidP="004A55D7">
      <w:pPr>
        <w:rPr>
          <w:b/>
        </w:rPr>
      </w:pPr>
      <w:bookmarkStart w:id="0" w:name="_GoBack"/>
      <w:bookmarkEnd w:id="0"/>
    </w:p>
    <w:p w:rsidR="00C1565E" w:rsidRPr="004A55D7" w:rsidRDefault="00C1565E" w:rsidP="004A55D7">
      <w:pPr>
        <w:rPr>
          <w:b/>
        </w:rPr>
      </w:pPr>
      <w:r w:rsidRPr="004A55D7">
        <w:rPr>
          <w:b/>
        </w:rPr>
        <w:t>Section 300.403  Yield on Certain Mortgage-Backed Securities</w:t>
      </w:r>
    </w:p>
    <w:p w:rsidR="00C1565E" w:rsidRPr="004A55D7" w:rsidRDefault="00C1565E" w:rsidP="004A55D7"/>
    <w:p w:rsidR="00C1565E" w:rsidRPr="004A55D7" w:rsidRDefault="00C1565E" w:rsidP="004A55D7">
      <w:r w:rsidRPr="004A55D7">
        <w:t>In no event shall the yield on Mortgage-Backed Securities purchased from the proceeds of Bonds that are Tax-Exempt exceed the maximum permitted by application of section</w:t>
      </w:r>
      <w:r w:rsidR="004A55D7">
        <w:t xml:space="preserve"> </w:t>
      </w:r>
      <w:r w:rsidRPr="004A55D7">
        <w:t>143 of the Code.</w:t>
      </w:r>
    </w:p>
    <w:sectPr w:rsidR="00C1565E" w:rsidRPr="004A55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4E" w:rsidRDefault="00D0544E">
      <w:r>
        <w:separator/>
      </w:r>
    </w:p>
  </w:endnote>
  <w:endnote w:type="continuationSeparator" w:id="0">
    <w:p w:rsidR="00D0544E" w:rsidRDefault="00D0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4E" w:rsidRDefault="00D0544E">
      <w:r>
        <w:separator/>
      </w:r>
    </w:p>
  </w:footnote>
  <w:footnote w:type="continuationSeparator" w:id="0">
    <w:p w:rsidR="00D0544E" w:rsidRDefault="00D0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65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5D7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BF9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C1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0B2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65E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544E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BDD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46C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C1565E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C1565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