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31" w:rsidRDefault="00493131" w:rsidP="00493131">
      <w:pPr>
        <w:jc w:val="center"/>
      </w:pPr>
      <w:bookmarkStart w:id="0" w:name="_GoBack"/>
      <w:bookmarkEnd w:id="0"/>
    </w:p>
    <w:p w:rsidR="002854D6" w:rsidRPr="002854D6" w:rsidRDefault="002854D6" w:rsidP="00493131">
      <w:pPr>
        <w:jc w:val="center"/>
      </w:pPr>
      <w:r w:rsidRPr="002854D6">
        <w:t>SUBPART E:  ADMINISTRATIVE RULES</w:t>
      </w:r>
    </w:p>
    <w:sectPr w:rsidR="002854D6" w:rsidRPr="002854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50" w:rsidRDefault="00521250">
      <w:r>
        <w:separator/>
      </w:r>
    </w:p>
  </w:endnote>
  <w:endnote w:type="continuationSeparator" w:id="0">
    <w:p w:rsidR="00521250" w:rsidRDefault="0052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50" w:rsidRDefault="00521250">
      <w:r>
        <w:separator/>
      </w:r>
    </w:p>
  </w:footnote>
  <w:footnote w:type="continuationSeparator" w:id="0">
    <w:p w:rsidR="00521250" w:rsidRDefault="0052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4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208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4D6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131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250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57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AB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2854D6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2854D6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