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2C" w:rsidRDefault="00543C2C" w:rsidP="00543C2C">
      <w:pPr>
        <w:widowControl w:val="0"/>
        <w:autoSpaceDE w:val="0"/>
        <w:autoSpaceDN w:val="0"/>
        <w:adjustRightInd w:val="0"/>
      </w:pPr>
      <w:bookmarkStart w:id="0" w:name="_GoBack"/>
      <w:bookmarkEnd w:id="0"/>
    </w:p>
    <w:p w:rsidR="00543C2C" w:rsidRDefault="00543C2C" w:rsidP="00543C2C">
      <w:pPr>
        <w:widowControl w:val="0"/>
        <w:autoSpaceDE w:val="0"/>
        <w:autoSpaceDN w:val="0"/>
        <w:adjustRightInd w:val="0"/>
      </w:pPr>
      <w:r>
        <w:rPr>
          <w:b/>
          <w:bCs/>
        </w:rPr>
        <w:t>Section 350.103  Compliance with Federal Law</w:t>
      </w:r>
      <w:r>
        <w:t xml:space="preserve"> </w:t>
      </w:r>
    </w:p>
    <w:p w:rsidR="00543C2C" w:rsidRDefault="00543C2C" w:rsidP="00543C2C">
      <w:pPr>
        <w:widowControl w:val="0"/>
        <w:autoSpaceDE w:val="0"/>
        <w:autoSpaceDN w:val="0"/>
        <w:adjustRightInd w:val="0"/>
      </w:pPr>
    </w:p>
    <w:p w:rsidR="00543C2C" w:rsidRDefault="00543C2C" w:rsidP="00543C2C">
      <w:pPr>
        <w:widowControl w:val="0"/>
        <w:autoSpaceDE w:val="0"/>
        <w:autoSpaceDN w:val="0"/>
        <w:adjustRightInd w:val="0"/>
      </w:pPr>
      <w:r>
        <w:t xml:space="preserve">Notwithstanding anything herein to the contrary, this Part shall be construed in conformity and compliance with the Internal Revenue Code.  To the extent that this Part conflicts with the Internal Revenue Code, the Internal Revenue Code shall control and prevail. </w:t>
      </w:r>
    </w:p>
    <w:sectPr w:rsidR="00543C2C" w:rsidSect="00543C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C2C"/>
    <w:rsid w:val="001A4A12"/>
    <w:rsid w:val="001D134C"/>
    <w:rsid w:val="00543C2C"/>
    <w:rsid w:val="005C3366"/>
    <w:rsid w:val="00614D52"/>
    <w:rsid w:val="0067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General Assembly</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