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CB" w:rsidRDefault="00F538CB" w:rsidP="00F538CB">
      <w:pPr>
        <w:widowControl w:val="0"/>
        <w:autoSpaceDE w:val="0"/>
        <w:autoSpaceDN w:val="0"/>
        <w:adjustRightInd w:val="0"/>
      </w:pPr>
      <w:bookmarkStart w:id="0" w:name="_GoBack"/>
      <w:bookmarkEnd w:id="0"/>
    </w:p>
    <w:p w:rsidR="00F538CB" w:rsidRDefault="00F538CB" w:rsidP="00F538CB">
      <w:pPr>
        <w:widowControl w:val="0"/>
        <w:autoSpaceDE w:val="0"/>
        <w:autoSpaceDN w:val="0"/>
        <w:adjustRightInd w:val="0"/>
      </w:pPr>
      <w:r>
        <w:rPr>
          <w:b/>
          <w:bCs/>
        </w:rPr>
        <w:t>Section 355.502  Monitoring Fees</w:t>
      </w:r>
      <w:r>
        <w:t xml:space="preserve"> </w:t>
      </w:r>
    </w:p>
    <w:p w:rsidR="00F538CB" w:rsidRDefault="00F538CB" w:rsidP="00F538CB">
      <w:pPr>
        <w:widowControl w:val="0"/>
        <w:autoSpaceDE w:val="0"/>
        <w:autoSpaceDN w:val="0"/>
        <w:adjustRightInd w:val="0"/>
      </w:pPr>
    </w:p>
    <w:p w:rsidR="00F538CB" w:rsidRDefault="00F538CB" w:rsidP="00F538CB">
      <w:pPr>
        <w:widowControl w:val="0"/>
        <w:autoSpaceDE w:val="0"/>
        <w:autoSpaceDN w:val="0"/>
        <w:adjustRightInd w:val="0"/>
      </w:pPr>
      <w:r>
        <w:t xml:space="preserve">An Agency may </w:t>
      </w:r>
      <w:r w:rsidR="0054003E">
        <w:t>assess</w:t>
      </w:r>
      <w:r>
        <w:t xml:space="preserve"> an annual fee for compliance monitoring </w:t>
      </w:r>
      <w:r w:rsidR="002578A6">
        <w:t>of Projects.  If an Agency decides to charge such a fee, the amount of such fee shall be established on July 1 of the year in which such decision is made.  An Agency may redetermine the amount of its compliance monitoring fee as of each July 1.  The Agency shall determine the amount of the fee, or the amount of the redetermined fee, based on the cost to the Agency of compliance monitoring of Projects for the previous State fiscal year</w:t>
      </w:r>
      <w:r>
        <w:t xml:space="preserve">. </w:t>
      </w:r>
    </w:p>
    <w:p w:rsidR="0054003E" w:rsidRDefault="0054003E" w:rsidP="00F538CB">
      <w:pPr>
        <w:widowControl w:val="0"/>
        <w:autoSpaceDE w:val="0"/>
        <w:autoSpaceDN w:val="0"/>
        <w:adjustRightInd w:val="0"/>
      </w:pPr>
    </w:p>
    <w:p w:rsidR="009B4EA6" w:rsidRPr="00D55B37" w:rsidRDefault="009B4EA6">
      <w:pPr>
        <w:pStyle w:val="JCARSourceNote"/>
        <w:ind w:left="720"/>
      </w:pPr>
      <w:r w:rsidRPr="00D55B37">
        <w:t xml:space="preserve">(Source:  </w:t>
      </w:r>
      <w:r>
        <w:t>Amended</w:t>
      </w:r>
      <w:r w:rsidRPr="00D55B37">
        <w:t xml:space="preserve"> at </w:t>
      </w:r>
      <w:r>
        <w:t>34 I</w:t>
      </w:r>
      <w:r w:rsidRPr="00D55B37">
        <w:t xml:space="preserve">ll. Reg. </w:t>
      </w:r>
      <w:r w:rsidR="001959CC">
        <w:t>15822</w:t>
      </w:r>
      <w:r w:rsidRPr="00D55B37">
        <w:t xml:space="preserve">, effective </w:t>
      </w:r>
      <w:r w:rsidR="001959CC">
        <w:t>September 28, 2010</w:t>
      </w:r>
      <w:r w:rsidRPr="00D55B37">
        <w:t>)</w:t>
      </w:r>
    </w:p>
    <w:sectPr w:rsidR="009B4EA6" w:rsidRPr="00D55B37" w:rsidSect="00F538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8CB"/>
    <w:rsid w:val="001959CC"/>
    <w:rsid w:val="002578A6"/>
    <w:rsid w:val="0054003E"/>
    <w:rsid w:val="005C3366"/>
    <w:rsid w:val="009B4E01"/>
    <w:rsid w:val="009B4EA6"/>
    <w:rsid w:val="00C263D8"/>
    <w:rsid w:val="00C9593E"/>
    <w:rsid w:val="00CF2E16"/>
    <w:rsid w:val="00E27606"/>
    <w:rsid w:val="00E37394"/>
    <w:rsid w:val="00F5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0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