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A4" w:rsidRDefault="002639A4" w:rsidP="002639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39A4" w:rsidRDefault="002639A4" w:rsidP="002639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360.305  Site and Market Study/Rental Analysis</w:t>
      </w:r>
      <w:r>
        <w:t xml:space="preserve"> </w:t>
      </w:r>
    </w:p>
    <w:p w:rsidR="002639A4" w:rsidRDefault="002639A4" w:rsidP="002639A4">
      <w:pPr>
        <w:widowControl w:val="0"/>
        <w:autoSpaceDE w:val="0"/>
        <w:autoSpaceDN w:val="0"/>
        <w:adjustRightInd w:val="0"/>
      </w:pPr>
    </w:p>
    <w:p w:rsidR="002639A4" w:rsidRDefault="002639A4" w:rsidP="002639A4">
      <w:pPr>
        <w:widowControl w:val="0"/>
        <w:autoSpaceDE w:val="0"/>
        <w:autoSpaceDN w:val="0"/>
        <w:adjustRightInd w:val="0"/>
      </w:pPr>
      <w:r>
        <w:t xml:space="preserve">The Authority may conduct a site and market study when the Applicant seeks funds for new construction.  The Authority shall conduct a site and market study or rental analysis when the Applicant's proposed rent structure is not in conformity with the rental market rates known to the Authority within a one half mile radius of the Development. </w:t>
      </w:r>
    </w:p>
    <w:p w:rsidR="002639A4" w:rsidRDefault="002639A4" w:rsidP="002639A4">
      <w:pPr>
        <w:widowControl w:val="0"/>
        <w:autoSpaceDE w:val="0"/>
        <w:autoSpaceDN w:val="0"/>
        <w:adjustRightInd w:val="0"/>
      </w:pPr>
    </w:p>
    <w:p w:rsidR="002639A4" w:rsidRDefault="002639A4" w:rsidP="002639A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8663, effective May 25, 1994) </w:t>
      </w:r>
    </w:p>
    <w:sectPr w:rsidR="002639A4" w:rsidSect="002639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9A4"/>
    <w:rsid w:val="002639A4"/>
    <w:rsid w:val="004E1E56"/>
    <w:rsid w:val="005C3366"/>
    <w:rsid w:val="009A219E"/>
    <w:rsid w:val="00B6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