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FA" w:rsidRDefault="007B3EFA" w:rsidP="007B3E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EFA" w:rsidRDefault="007B3EFA" w:rsidP="007B3E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360.602  Maximum Grant Amount</w:t>
      </w:r>
      <w:r>
        <w:t xml:space="preserve"> </w:t>
      </w:r>
    </w:p>
    <w:p w:rsidR="007B3EFA" w:rsidRDefault="007B3EFA" w:rsidP="007B3EFA">
      <w:pPr>
        <w:widowControl w:val="0"/>
        <w:autoSpaceDE w:val="0"/>
        <w:autoSpaceDN w:val="0"/>
        <w:adjustRightInd w:val="0"/>
      </w:pPr>
    </w:p>
    <w:p w:rsidR="007B3EFA" w:rsidRDefault="007B3EFA" w:rsidP="007B3EFA">
      <w:pPr>
        <w:widowControl w:val="0"/>
        <w:autoSpaceDE w:val="0"/>
        <w:autoSpaceDN w:val="0"/>
        <w:adjustRightInd w:val="0"/>
      </w:pPr>
      <w:r>
        <w:t xml:space="preserve">Grants by a Recipient to a Very Low-Income Household shall not exceed $5,000.  Grants by a Recipient to a Low-Income Household shall not exceed 3,000.  Grants to organizations or corporations shall not exceed $750,000.  Grants are not available to for-profit entities.  All other provisions of this Part apply to Grants made by the Authority. </w:t>
      </w:r>
    </w:p>
    <w:p w:rsidR="007B3EFA" w:rsidRDefault="007B3EFA" w:rsidP="007B3EFA">
      <w:pPr>
        <w:widowControl w:val="0"/>
        <w:autoSpaceDE w:val="0"/>
        <w:autoSpaceDN w:val="0"/>
        <w:adjustRightInd w:val="0"/>
      </w:pPr>
    </w:p>
    <w:p w:rsidR="007B3EFA" w:rsidRDefault="007B3EFA" w:rsidP="007B3E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8819, effective July 26, 1999) </w:t>
      </w:r>
    </w:p>
    <w:sectPr w:rsidR="007B3EFA" w:rsidSect="007B3E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EFA"/>
    <w:rsid w:val="00031912"/>
    <w:rsid w:val="005C3366"/>
    <w:rsid w:val="00741FD0"/>
    <w:rsid w:val="007B3985"/>
    <w:rsid w:val="007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