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BB" w:rsidRDefault="008C56BB" w:rsidP="008C56BB">
      <w:pPr>
        <w:widowControl w:val="0"/>
        <w:autoSpaceDE w:val="0"/>
        <w:autoSpaceDN w:val="0"/>
        <w:adjustRightInd w:val="0"/>
      </w:pPr>
      <w:bookmarkStart w:id="0" w:name="_GoBack"/>
      <w:bookmarkEnd w:id="0"/>
    </w:p>
    <w:p w:rsidR="008C56BB" w:rsidRDefault="008C56BB" w:rsidP="008C56BB">
      <w:pPr>
        <w:widowControl w:val="0"/>
        <w:autoSpaceDE w:val="0"/>
        <w:autoSpaceDN w:val="0"/>
        <w:adjustRightInd w:val="0"/>
      </w:pPr>
      <w:r>
        <w:rPr>
          <w:b/>
          <w:bCs/>
        </w:rPr>
        <w:t>Section 366.604  Termination</w:t>
      </w:r>
      <w:r>
        <w:t xml:space="preserve"> </w:t>
      </w:r>
    </w:p>
    <w:p w:rsidR="008C56BB" w:rsidRDefault="008C56BB" w:rsidP="008C56BB">
      <w:pPr>
        <w:widowControl w:val="0"/>
        <w:autoSpaceDE w:val="0"/>
        <w:autoSpaceDN w:val="0"/>
        <w:adjustRightInd w:val="0"/>
      </w:pPr>
    </w:p>
    <w:p w:rsidR="008C56BB" w:rsidRDefault="008C56BB" w:rsidP="008C56BB">
      <w:pPr>
        <w:widowControl w:val="0"/>
        <w:autoSpaceDE w:val="0"/>
        <w:autoSpaceDN w:val="0"/>
        <w:adjustRightInd w:val="0"/>
      </w:pPr>
      <w:r>
        <w:t xml:space="preserve">The Authority shall retain the right to establish procedures for the termination of its obligation to purchase Loans associated with any particular issue of Bonds under the Program, subject to applicable State law and to its existing contractual obligations, including contractual obligations arising under a HomeBuilder Participation Agreement, a Lender Application, a Notice of Acceptance, a Mortgage Purchase Agreement and a Servicing Agreement. </w:t>
      </w:r>
    </w:p>
    <w:sectPr w:rsidR="008C56BB" w:rsidSect="008C56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56BB"/>
    <w:rsid w:val="005C3366"/>
    <w:rsid w:val="00782420"/>
    <w:rsid w:val="008B4F2C"/>
    <w:rsid w:val="008C56BB"/>
    <w:rsid w:val="00A3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