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5E" w:rsidRPr="009A74B7" w:rsidRDefault="0057075E" w:rsidP="0057075E">
      <w:pPr>
        <w:rPr>
          <w:color w:val="000000"/>
          <w:szCs w:val="20"/>
        </w:rPr>
      </w:pPr>
      <w:bookmarkStart w:id="0" w:name="_GoBack"/>
      <w:bookmarkEnd w:id="0"/>
    </w:p>
    <w:p w:rsidR="0057075E" w:rsidRPr="009A74B7" w:rsidRDefault="0057075E" w:rsidP="0057075E">
      <w:pPr>
        <w:rPr>
          <w:b/>
          <w:color w:val="000000"/>
          <w:szCs w:val="20"/>
        </w:rPr>
      </w:pPr>
      <w:bookmarkStart w:id="1" w:name="_DV_M276"/>
      <w:bookmarkEnd w:id="1"/>
      <w:r w:rsidRPr="009A74B7">
        <w:rPr>
          <w:b/>
          <w:color w:val="000000"/>
          <w:szCs w:val="20"/>
        </w:rPr>
        <w:t>Section 385.309  Reporting Requirements</w:t>
      </w:r>
    </w:p>
    <w:p w:rsidR="0047555B" w:rsidRPr="009A74B7" w:rsidRDefault="0047555B" w:rsidP="0057075E">
      <w:pPr>
        <w:rPr>
          <w:color w:val="000000"/>
          <w:szCs w:val="20"/>
        </w:rPr>
      </w:pPr>
    </w:p>
    <w:p w:rsidR="0057075E" w:rsidRPr="009A74B7" w:rsidRDefault="0057075E" w:rsidP="0057075E">
      <w:pPr>
        <w:ind w:left="1440" w:hanging="720"/>
        <w:rPr>
          <w:color w:val="000000"/>
          <w:szCs w:val="20"/>
        </w:rPr>
      </w:pPr>
      <w:r>
        <w:rPr>
          <w:color w:val="000000"/>
          <w:szCs w:val="20"/>
        </w:rPr>
        <w:t>a)</w:t>
      </w:r>
      <w:r>
        <w:rPr>
          <w:color w:val="000000"/>
          <w:szCs w:val="20"/>
        </w:rPr>
        <w:tab/>
      </w:r>
      <w:r w:rsidRPr="007714CE">
        <w:rPr>
          <w:color w:val="000000"/>
        </w:rPr>
        <w:t>Administering Agency</w:t>
      </w:r>
      <w:r w:rsidR="00947FDD">
        <w:rPr>
          <w:color w:val="000000"/>
        </w:rPr>
        <w:t>.</w:t>
      </w:r>
      <w:r w:rsidRPr="007714CE">
        <w:rPr>
          <w:color w:val="000000"/>
          <w:szCs w:val="20"/>
        </w:rPr>
        <w:t xml:space="preserve">  Each </w:t>
      </w:r>
      <w:r w:rsidRPr="007714CE">
        <w:rPr>
          <w:color w:val="000000"/>
        </w:rPr>
        <w:t xml:space="preserve">Administering Agency </w:t>
      </w:r>
      <w:r w:rsidRPr="007714CE">
        <w:rPr>
          <w:color w:val="000000"/>
          <w:szCs w:val="20"/>
        </w:rPr>
        <w:t xml:space="preserve">shall provide reports to the Agency that made the Grant, on forms provided by the Authority, at the end of each quarter of the term of its Commitment.  The </w:t>
      </w:r>
      <w:r w:rsidRPr="007714CE">
        <w:rPr>
          <w:color w:val="000000"/>
        </w:rPr>
        <w:t xml:space="preserve">Administering Agency </w:t>
      </w:r>
      <w:r w:rsidRPr="007714CE">
        <w:rPr>
          <w:color w:val="000000"/>
          <w:szCs w:val="20"/>
        </w:rPr>
        <w:t>shall identify, at a minimum, the number of households that attended pre-purchase home ownership counseling, post-purchase home ownership counseling, foreclosure education, and foreclosure prevention outreach programs; the number of existing counselors who attended training; the number of Administering Agenc</w:t>
      </w:r>
      <w:r>
        <w:rPr>
          <w:color w:val="000000"/>
          <w:szCs w:val="20"/>
        </w:rPr>
        <w:t>ies</w:t>
      </w:r>
      <w:r w:rsidRPr="007714CE">
        <w:rPr>
          <w:color w:val="000000"/>
          <w:szCs w:val="20"/>
        </w:rPr>
        <w:t xml:space="preserve"> who attended training; the number of new counselors hired to increase an </w:t>
      </w:r>
      <w:r w:rsidRPr="007714CE">
        <w:rPr>
          <w:color w:val="000000"/>
        </w:rPr>
        <w:t>Administering Agency</w:t>
      </w:r>
      <w:r w:rsidR="0047555B">
        <w:rPr>
          <w:color w:val="000000"/>
          <w:szCs w:val="20"/>
        </w:rPr>
        <w:t>'</w:t>
      </w:r>
      <w:r w:rsidRPr="007714CE">
        <w:rPr>
          <w:color w:val="000000"/>
          <w:szCs w:val="20"/>
        </w:rPr>
        <w:t>s capacity; the expenditures incurred for Technical Assistance; and the expenditures incurred for Computer and Equipment Expenses</w:t>
      </w:r>
      <w:r w:rsidRPr="007714CE" w:rsidDel="00FB2664">
        <w:rPr>
          <w:color w:val="000000"/>
          <w:szCs w:val="20"/>
        </w:rPr>
        <w:t xml:space="preserve"> </w:t>
      </w:r>
      <w:r w:rsidRPr="007714CE">
        <w:rPr>
          <w:color w:val="000000"/>
          <w:szCs w:val="20"/>
        </w:rPr>
        <w:t xml:space="preserve">and General Operational Expenses.  </w:t>
      </w:r>
      <w:r>
        <w:rPr>
          <w:color w:val="000000"/>
          <w:szCs w:val="20"/>
        </w:rPr>
        <w:t xml:space="preserve">In the event an </w:t>
      </w:r>
      <w:r w:rsidRPr="00154AD7">
        <w:rPr>
          <w:color w:val="000000"/>
        </w:rPr>
        <w:t xml:space="preserve">Administering Agency </w:t>
      </w:r>
      <w:r>
        <w:rPr>
          <w:color w:val="000000"/>
        </w:rPr>
        <w:t>a</w:t>
      </w:r>
      <w:r w:rsidRPr="009A74B7">
        <w:rPr>
          <w:color w:val="000000"/>
        </w:rPr>
        <w:t>dminister</w:t>
      </w:r>
      <w:r>
        <w:rPr>
          <w:color w:val="000000"/>
        </w:rPr>
        <w:t xml:space="preserve">s all or a portion of the </w:t>
      </w:r>
      <w:r>
        <w:rPr>
          <w:color w:val="000000"/>
          <w:szCs w:val="20"/>
        </w:rPr>
        <w:t>Statewide Activities</w:t>
      </w:r>
      <w:r>
        <w:rPr>
          <w:color w:val="000000"/>
        </w:rPr>
        <w:t xml:space="preserve">, the </w:t>
      </w:r>
      <w:r w:rsidRPr="00154AD7">
        <w:rPr>
          <w:color w:val="000000"/>
        </w:rPr>
        <w:t xml:space="preserve">Administering Agency </w:t>
      </w:r>
      <w:r w:rsidRPr="00154AD7">
        <w:rPr>
          <w:color w:val="000000"/>
          <w:szCs w:val="20"/>
        </w:rPr>
        <w:t xml:space="preserve">shall identify, at a minimum, </w:t>
      </w:r>
      <w:r>
        <w:rPr>
          <w:color w:val="000000"/>
        </w:rPr>
        <w:t xml:space="preserve">the costs and expenses incurred in connection with the administration of </w:t>
      </w:r>
      <w:r w:rsidR="00947FDD">
        <w:rPr>
          <w:color w:val="000000"/>
        </w:rPr>
        <w:t xml:space="preserve">the </w:t>
      </w:r>
      <w:r>
        <w:rPr>
          <w:color w:val="000000"/>
          <w:szCs w:val="20"/>
        </w:rPr>
        <w:t>Statewide Activity</w:t>
      </w:r>
      <w:r>
        <w:rPr>
          <w:color w:val="000000"/>
        </w:rPr>
        <w:t>.</w:t>
      </w:r>
    </w:p>
    <w:p w:rsidR="0057075E" w:rsidRDefault="0057075E" w:rsidP="0057075E">
      <w:pPr>
        <w:ind w:left="1440" w:hanging="720"/>
        <w:rPr>
          <w:color w:val="000000"/>
          <w:szCs w:val="20"/>
        </w:rPr>
      </w:pPr>
    </w:p>
    <w:p w:rsidR="0057075E" w:rsidRPr="007714CE" w:rsidRDefault="0057075E" w:rsidP="0057075E">
      <w:pPr>
        <w:ind w:left="1440" w:hanging="720"/>
        <w:rPr>
          <w:color w:val="000000"/>
          <w:szCs w:val="20"/>
        </w:rPr>
      </w:pPr>
      <w:r w:rsidRPr="007714CE">
        <w:rPr>
          <w:color w:val="000000"/>
          <w:szCs w:val="20"/>
        </w:rPr>
        <w:t>b)</w:t>
      </w:r>
      <w:r w:rsidRPr="007714CE">
        <w:rPr>
          <w:color w:val="000000"/>
          <w:szCs w:val="20"/>
        </w:rPr>
        <w:tab/>
        <w:t>City</w:t>
      </w:r>
      <w:r w:rsidR="00947FDD">
        <w:rPr>
          <w:color w:val="000000"/>
          <w:szCs w:val="20"/>
        </w:rPr>
        <w:t>.</w:t>
      </w:r>
      <w:r w:rsidRPr="007714CE">
        <w:rPr>
          <w:color w:val="000000"/>
          <w:szCs w:val="20"/>
        </w:rPr>
        <w:t xml:space="preserve">  If the City uses the Grant proceeds to </w:t>
      </w:r>
      <w:r w:rsidRPr="007714CE">
        <w:rPr>
          <w:color w:val="000000"/>
        </w:rPr>
        <w:t>support foreclosure prevention counseling programs administered by the City</w:t>
      </w:r>
      <w:r w:rsidRPr="007714CE">
        <w:rPr>
          <w:color w:val="000000"/>
          <w:szCs w:val="20"/>
        </w:rPr>
        <w:t>, the City shall provide quarterly reports to the Authority.  The City shall identify, at a minimum, the number of households that attended pre-purchase home ownership counseling, post-purchase home ownership counseli</w:t>
      </w:r>
      <w:r w:rsidR="00947FDD">
        <w:rPr>
          <w:color w:val="000000"/>
          <w:szCs w:val="20"/>
        </w:rPr>
        <w:t>ng, foreclosure education, and Foreclosure Prevention Outreach P</w:t>
      </w:r>
      <w:r w:rsidRPr="007714CE">
        <w:rPr>
          <w:color w:val="000000"/>
          <w:szCs w:val="20"/>
        </w:rPr>
        <w:t>rograms; the number of existing counselors who attended training; the number of City</w:t>
      </w:r>
      <w:r w:rsidR="0047555B">
        <w:rPr>
          <w:color w:val="000000"/>
          <w:szCs w:val="20"/>
        </w:rPr>
        <w:t>'</w:t>
      </w:r>
      <w:r w:rsidRPr="007714CE">
        <w:rPr>
          <w:color w:val="000000"/>
          <w:szCs w:val="20"/>
        </w:rPr>
        <w:t>s employees who attended training; the number of new counselors hired to increase the City</w:t>
      </w:r>
      <w:r w:rsidR="0047555B">
        <w:rPr>
          <w:color w:val="000000"/>
          <w:szCs w:val="20"/>
        </w:rPr>
        <w:t>'</w:t>
      </w:r>
      <w:r w:rsidRPr="007714CE">
        <w:rPr>
          <w:color w:val="000000"/>
          <w:szCs w:val="20"/>
        </w:rPr>
        <w:t>s capacity; the expenditures incurred for Technical Assistance; and the expenditures incurred for  Computer and Equipment Expenses</w:t>
      </w:r>
      <w:r w:rsidRPr="007714CE" w:rsidDel="00FB2664">
        <w:rPr>
          <w:color w:val="000000"/>
          <w:szCs w:val="20"/>
        </w:rPr>
        <w:t xml:space="preserve"> </w:t>
      </w:r>
      <w:r w:rsidRPr="007714CE">
        <w:rPr>
          <w:color w:val="000000"/>
          <w:szCs w:val="20"/>
        </w:rPr>
        <w:t xml:space="preserve">and General Operational Expenses.  </w:t>
      </w:r>
    </w:p>
    <w:p w:rsidR="0057075E" w:rsidRDefault="0057075E" w:rsidP="0057075E">
      <w:pPr>
        <w:rPr>
          <w:color w:val="000000"/>
          <w:szCs w:val="20"/>
        </w:rPr>
      </w:pPr>
    </w:p>
    <w:p w:rsidR="0057075E" w:rsidRDefault="0057075E" w:rsidP="0057075E">
      <w:pPr>
        <w:ind w:left="1440" w:hanging="720"/>
      </w:pPr>
      <w:r>
        <w:rPr>
          <w:color w:val="000000"/>
          <w:szCs w:val="20"/>
        </w:rPr>
        <w:t>c)</w:t>
      </w:r>
      <w:r>
        <w:rPr>
          <w:color w:val="000000"/>
          <w:szCs w:val="20"/>
        </w:rPr>
        <w:tab/>
        <w:t>Authority</w:t>
      </w:r>
      <w:r w:rsidR="00947FDD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In the event the Authority</w:t>
      </w:r>
      <w:r w:rsidRPr="00154AD7">
        <w:rPr>
          <w:color w:val="000000"/>
        </w:rPr>
        <w:t xml:space="preserve"> </w:t>
      </w:r>
      <w:r>
        <w:rPr>
          <w:color w:val="000000"/>
        </w:rPr>
        <w:t>a</w:t>
      </w:r>
      <w:r w:rsidRPr="009A74B7">
        <w:rPr>
          <w:color w:val="000000"/>
        </w:rPr>
        <w:t>dminister</w:t>
      </w:r>
      <w:r>
        <w:rPr>
          <w:color w:val="000000"/>
        </w:rPr>
        <w:t xml:space="preserve">s all or a portion of the </w:t>
      </w:r>
      <w:r>
        <w:rPr>
          <w:color w:val="000000"/>
          <w:szCs w:val="20"/>
        </w:rPr>
        <w:t>Statewide Activities</w:t>
      </w:r>
      <w:r>
        <w:rPr>
          <w:color w:val="000000"/>
        </w:rPr>
        <w:t>, the Authority</w:t>
      </w:r>
      <w:r w:rsidRPr="00154AD7">
        <w:rPr>
          <w:color w:val="000000"/>
        </w:rPr>
        <w:t xml:space="preserve"> </w:t>
      </w:r>
      <w:r w:rsidRPr="00154AD7">
        <w:rPr>
          <w:color w:val="000000"/>
          <w:szCs w:val="20"/>
        </w:rPr>
        <w:t xml:space="preserve">shall </w:t>
      </w:r>
      <w:r w:rsidRPr="009A74B7">
        <w:rPr>
          <w:color w:val="000000"/>
          <w:szCs w:val="20"/>
        </w:rPr>
        <w:t xml:space="preserve">maintain a detailed accounting of </w:t>
      </w:r>
      <w:r>
        <w:rPr>
          <w:color w:val="000000"/>
          <w:szCs w:val="20"/>
        </w:rPr>
        <w:t>its</w:t>
      </w:r>
      <w:r w:rsidRPr="009A74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costs and </w:t>
      </w:r>
      <w:r w:rsidRPr="009A74B7">
        <w:rPr>
          <w:color w:val="000000"/>
          <w:szCs w:val="20"/>
        </w:rPr>
        <w:t>expenses</w:t>
      </w:r>
      <w:r>
        <w:rPr>
          <w:color w:val="000000"/>
          <w:szCs w:val="20"/>
        </w:rPr>
        <w:t xml:space="preserve"> in connection with </w:t>
      </w:r>
      <w:r>
        <w:rPr>
          <w:color w:val="000000"/>
        </w:rPr>
        <w:t xml:space="preserve">the administration </w:t>
      </w:r>
      <w:r w:rsidR="003277A1">
        <w:rPr>
          <w:color w:val="000000"/>
        </w:rPr>
        <w:t xml:space="preserve">of </w:t>
      </w:r>
      <w:r>
        <w:rPr>
          <w:color w:val="000000"/>
          <w:szCs w:val="20"/>
        </w:rPr>
        <w:t>Statewide Activity</w:t>
      </w:r>
      <w:r w:rsidRPr="009A74B7">
        <w:rPr>
          <w:color w:val="000000"/>
          <w:szCs w:val="20"/>
        </w:rPr>
        <w:t>, which shall be available to the public for review</w:t>
      </w:r>
      <w:r>
        <w:rPr>
          <w:color w:val="000000"/>
          <w:szCs w:val="20"/>
        </w:rPr>
        <w:t>.</w:t>
      </w:r>
      <w:bookmarkStart w:id="2" w:name="_DV_M277"/>
      <w:bookmarkStart w:id="3" w:name="_DV_M278"/>
      <w:bookmarkStart w:id="4" w:name="_DV_M279"/>
      <w:bookmarkStart w:id="5" w:name="_DV_M280"/>
      <w:bookmarkStart w:id="6" w:name="_DV_M281"/>
      <w:bookmarkStart w:id="7" w:name="_DV_M282"/>
      <w:bookmarkStart w:id="8" w:name="_DV_M283"/>
      <w:bookmarkStart w:id="9" w:name="_DV_M284"/>
      <w:bookmarkStart w:id="10" w:name="_DV_M285"/>
      <w:bookmarkStart w:id="11" w:name="_DV_M286"/>
      <w:bookmarkStart w:id="12" w:name="_DV_M287"/>
      <w:bookmarkStart w:id="13" w:name="_DV_M288"/>
      <w:bookmarkStart w:id="14" w:name="_DV_M289"/>
      <w:bookmarkStart w:id="15" w:name="_DV_M290"/>
      <w:bookmarkStart w:id="16" w:name="_DV_M291"/>
      <w:bookmarkStart w:id="17" w:name="_DV_M292"/>
      <w:bookmarkStart w:id="18" w:name="_DV_M293"/>
      <w:bookmarkStart w:id="19" w:name="_DV_M294"/>
      <w:bookmarkStart w:id="20" w:name="_DV_M295"/>
      <w:bookmarkStart w:id="21" w:name="_DV_M296"/>
      <w:bookmarkStart w:id="22" w:name="_DV_M297"/>
      <w:bookmarkStart w:id="23" w:name="_DV_M298"/>
      <w:bookmarkStart w:id="24" w:name="_DV_M299"/>
      <w:bookmarkStart w:id="25" w:name="_DV_M300"/>
      <w:bookmarkStart w:id="26" w:name="_DV_M301"/>
      <w:bookmarkStart w:id="27" w:name="_DV_M302"/>
      <w:bookmarkStart w:id="28" w:name="_DV_M303"/>
      <w:bookmarkStart w:id="29" w:name="_DV_M304"/>
      <w:bookmarkStart w:id="30" w:name="_DV_M305"/>
      <w:bookmarkStart w:id="31" w:name="_DV_M306"/>
      <w:bookmarkStart w:id="32" w:name="_DV_M307"/>
      <w:bookmarkStart w:id="33" w:name="_DV_M308"/>
      <w:bookmarkStart w:id="34" w:name="_DV_M309"/>
      <w:bookmarkStart w:id="35" w:name="_DV_M310"/>
      <w:bookmarkStart w:id="36" w:name="_DV_M311"/>
      <w:bookmarkStart w:id="37" w:name="_DV_M312"/>
      <w:bookmarkStart w:id="38" w:name="_DV_M313"/>
      <w:bookmarkStart w:id="39" w:name="_DV_M314"/>
      <w:bookmarkStart w:id="40" w:name="_DV_M315"/>
      <w:bookmarkStart w:id="41" w:name="_DV_M316"/>
      <w:bookmarkStart w:id="42" w:name="_DV_M317"/>
      <w:bookmarkStart w:id="43" w:name="_DV_M318"/>
      <w:bookmarkStart w:id="44" w:name="_DV_M319"/>
      <w:bookmarkStart w:id="45" w:name="_DV_M320"/>
      <w:bookmarkStart w:id="46" w:name="_DV_M321"/>
      <w:bookmarkStart w:id="47" w:name="_DV_M322"/>
      <w:bookmarkStart w:id="48" w:name="_DV_M323"/>
      <w:bookmarkStart w:id="49" w:name="_DV_M324"/>
      <w:bookmarkStart w:id="50" w:name="_DV_M325"/>
      <w:bookmarkStart w:id="51" w:name="_DV_M326"/>
      <w:bookmarkStart w:id="52" w:name="_DV_M327"/>
      <w:bookmarkStart w:id="53" w:name="_DV_M328"/>
      <w:bookmarkStart w:id="54" w:name="_DV_M329"/>
      <w:bookmarkStart w:id="55" w:name="_DV_M330"/>
      <w:bookmarkStart w:id="56" w:name="_DV_M331"/>
      <w:bookmarkStart w:id="57" w:name="_DV_M332"/>
      <w:bookmarkStart w:id="58" w:name="_DV_M333"/>
      <w:bookmarkStart w:id="59" w:name="_DV_M334"/>
      <w:bookmarkStart w:id="60" w:name="_DV_M335"/>
      <w:bookmarkStart w:id="61" w:name="_DV_M336"/>
      <w:bookmarkStart w:id="62" w:name="_DV_M337"/>
      <w:bookmarkStart w:id="63" w:name="_DV_M338"/>
      <w:bookmarkStart w:id="64" w:name="_DV_M339"/>
      <w:bookmarkStart w:id="65" w:name="_DV_M340"/>
      <w:bookmarkStart w:id="66" w:name="_DV_M341"/>
      <w:bookmarkStart w:id="67" w:name="_DV_M342"/>
      <w:bookmarkStart w:id="68" w:name="_DV_M343"/>
      <w:bookmarkStart w:id="69" w:name="_DV_M344"/>
      <w:bookmarkStart w:id="70" w:name="_DV_M345"/>
      <w:bookmarkStart w:id="71" w:name="_DV_M346"/>
      <w:bookmarkStart w:id="72" w:name="_DV_M347"/>
      <w:bookmarkStart w:id="73" w:name="_DV_M348"/>
      <w:bookmarkStart w:id="74" w:name="_DV_M349"/>
      <w:bookmarkStart w:id="75" w:name="_DV_M350"/>
      <w:bookmarkStart w:id="76" w:name="_DV_M351"/>
      <w:bookmarkStart w:id="77" w:name="_DV_M352"/>
      <w:bookmarkStart w:id="78" w:name="_DV_M353"/>
      <w:bookmarkStart w:id="79" w:name="_DV_M354"/>
      <w:bookmarkStart w:id="80" w:name="_DV_M355"/>
      <w:bookmarkStart w:id="81" w:name="_DV_M356"/>
      <w:bookmarkStart w:id="82" w:name="_DV_M357"/>
      <w:bookmarkStart w:id="83" w:name="_DV_M358"/>
      <w:bookmarkStart w:id="84" w:name="_DV_M359"/>
      <w:bookmarkStart w:id="85" w:name="_DV_M360"/>
      <w:bookmarkStart w:id="86" w:name="_DV_M361"/>
      <w:bookmarkStart w:id="87" w:name="Cell_Ins"/>
      <w:bookmarkStart w:id="88" w:name="Cell_Del"/>
      <w:bookmarkStart w:id="89" w:name="Cell_Move"/>
      <w:bookmarkStart w:id="90" w:name="Cell_Merge"/>
      <w:bookmarkStart w:id="91" w:name="Cell_Pad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sectPr w:rsidR="0057075E" w:rsidSect="00A331A4"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3B" w:rsidRDefault="001D643B">
      <w:r>
        <w:separator/>
      </w:r>
    </w:p>
  </w:endnote>
  <w:endnote w:type="continuationSeparator" w:id="0">
    <w:p w:rsidR="001D643B" w:rsidRDefault="001D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3B" w:rsidRDefault="001D643B">
      <w:r>
        <w:separator/>
      </w:r>
    </w:p>
  </w:footnote>
  <w:footnote w:type="continuationSeparator" w:id="0">
    <w:p w:rsidR="001D643B" w:rsidRDefault="001D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8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B41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643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24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D99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7A1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E37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55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75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DED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7F3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F0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FDD"/>
    <w:rsid w:val="00950386"/>
    <w:rsid w:val="009543C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1A4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0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283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2A2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70D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75E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75E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