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A3" w:rsidRDefault="003B6DA3" w:rsidP="0086453D">
      <w:pPr>
        <w:rPr>
          <w:b/>
          <w:color w:val="000000"/>
          <w:szCs w:val="20"/>
        </w:rPr>
      </w:pPr>
    </w:p>
    <w:p w:rsidR="0086453D" w:rsidRPr="0086453D" w:rsidRDefault="0086453D" w:rsidP="0086453D">
      <w:pPr>
        <w:rPr>
          <w:b/>
          <w:color w:val="000000"/>
          <w:szCs w:val="20"/>
        </w:rPr>
      </w:pPr>
      <w:r w:rsidRPr="0086453D">
        <w:rPr>
          <w:b/>
          <w:color w:val="000000"/>
          <w:szCs w:val="20"/>
        </w:rPr>
        <w:t xml:space="preserve">Section 395.308  Reply to </w:t>
      </w:r>
      <w:r w:rsidR="00E03B71">
        <w:rPr>
          <w:b/>
          <w:color w:val="000000"/>
          <w:szCs w:val="20"/>
        </w:rPr>
        <w:t xml:space="preserve">the </w:t>
      </w:r>
      <w:r w:rsidRPr="0086453D">
        <w:rPr>
          <w:b/>
          <w:color w:val="000000"/>
          <w:szCs w:val="20"/>
        </w:rPr>
        <w:t>Initial Pleading by Approving Authority</w:t>
      </w:r>
    </w:p>
    <w:p w:rsidR="0086453D" w:rsidRPr="0086453D" w:rsidRDefault="0086453D" w:rsidP="0086453D">
      <w:pPr>
        <w:rPr>
          <w:color w:val="000000"/>
          <w:szCs w:val="20"/>
        </w:rPr>
      </w:pPr>
    </w:p>
    <w:p w:rsidR="0086453D" w:rsidRPr="0086453D" w:rsidRDefault="0086453D" w:rsidP="0086453D">
      <w:pPr>
        <w:ind w:left="1440" w:hanging="720"/>
        <w:rPr>
          <w:color w:val="000000"/>
          <w:szCs w:val="20"/>
        </w:rPr>
      </w:pPr>
      <w:r w:rsidRPr="0086453D">
        <w:rPr>
          <w:color w:val="000000"/>
          <w:szCs w:val="20"/>
        </w:rPr>
        <w:t>a)</w:t>
      </w:r>
      <w:r w:rsidRPr="0086453D">
        <w:rPr>
          <w:color w:val="000000"/>
          <w:szCs w:val="20"/>
        </w:rPr>
        <w:tab/>
      </w:r>
      <w:r w:rsidRPr="0086453D">
        <w:rPr>
          <w:color w:val="000000"/>
        </w:rPr>
        <w:t xml:space="preserve">If an appeal is not dismissed before the hearing pursuant to Section </w:t>
      </w:r>
      <w:r w:rsidR="00E03B71">
        <w:rPr>
          <w:color w:val="000000"/>
        </w:rPr>
        <w:t>395.</w:t>
      </w:r>
      <w:r w:rsidRPr="0086453D">
        <w:rPr>
          <w:color w:val="000000"/>
        </w:rPr>
        <w:t xml:space="preserve">307, within 15 Days </w:t>
      </w:r>
      <w:r w:rsidR="00E03B71">
        <w:rPr>
          <w:color w:val="000000"/>
        </w:rPr>
        <w:t>after</w:t>
      </w:r>
      <w:r w:rsidRPr="0086453D">
        <w:rPr>
          <w:color w:val="000000"/>
        </w:rPr>
        <w:t xml:space="preserve"> the Board</w:t>
      </w:r>
      <w:r w:rsidR="003B6DA3">
        <w:rPr>
          <w:color w:val="000000"/>
        </w:rPr>
        <w:t>'</w:t>
      </w:r>
      <w:r w:rsidRPr="0086453D">
        <w:rPr>
          <w:color w:val="000000"/>
        </w:rPr>
        <w:t xml:space="preserve">s decision to deny the motion to dismiss, the Approving Authority shall file a Reply to the Initial Pleading with the Board and shall provide a copy of the Reply to the Initial Pleading to </w:t>
      </w:r>
      <w:r w:rsidR="00DC6FE9">
        <w:rPr>
          <w:color w:val="000000"/>
        </w:rPr>
        <w:t xml:space="preserve">the Affordable Housing Developer and </w:t>
      </w:r>
      <w:r w:rsidRPr="0086453D">
        <w:rPr>
          <w:color w:val="000000"/>
        </w:rPr>
        <w:t xml:space="preserve">all other parties.  If no motion to dismiss is filed, the Approving Authority shall file a Reply to the Initial Pleading with the Board and shall provide a copy of the Reply to the Initial Pleading to </w:t>
      </w:r>
      <w:r w:rsidR="00DC6FE9">
        <w:rPr>
          <w:color w:val="000000"/>
        </w:rPr>
        <w:t xml:space="preserve">the Affordable Housing Developer and </w:t>
      </w:r>
      <w:r w:rsidRPr="0086453D">
        <w:rPr>
          <w:color w:val="000000"/>
        </w:rPr>
        <w:t xml:space="preserve">all other parties within 15 Days </w:t>
      </w:r>
      <w:r w:rsidR="00E03B71">
        <w:rPr>
          <w:color w:val="000000"/>
        </w:rPr>
        <w:t>after</w:t>
      </w:r>
      <w:r w:rsidRPr="0086453D">
        <w:rPr>
          <w:color w:val="000000"/>
        </w:rPr>
        <w:t xml:space="preserve"> the Notice of Appeal.</w:t>
      </w:r>
    </w:p>
    <w:p w:rsidR="0086453D" w:rsidRPr="0086453D" w:rsidRDefault="0086453D" w:rsidP="00CE4331">
      <w:pPr>
        <w:rPr>
          <w:color w:val="000000"/>
          <w:szCs w:val="20"/>
        </w:rPr>
      </w:pPr>
    </w:p>
    <w:p w:rsidR="0086453D" w:rsidRPr="0086453D" w:rsidRDefault="0086453D" w:rsidP="0086453D">
      <w:pPr>
        <w:ind w:left="1440" w:hanging="720"/>
        <w:rPr>
          <w:color w:val="000000"/>
          <w:szCs w:val="20"/>
        </w:rPr>
      </w:pPr>
      <w:r w:rsidRPr="0086453D">
        <w:rPr>
          <w:color w:val="000000"/>
          <w:szCs w:val="20"/>
        </w:rPr>
        <w:t>b)</w:t>
      </w:r>
      <w:r w:rsidRPr="0086453D">
        <w:rPr>
          <w:color w:val="000000"/>
          <w:szCs w:val="20"/>
        </w:rPr>
        <w:tab/>
      </w:r>
      <w:bookmarkStart w:id="0" w:name="_DV_M277"/>
      <w:bookmarkStart w:id="1" w:name="_DV_M278"/>
      <w:bookmarkStart w:id="2" w:name="_DV_M279"/>
      <w:bookmarkStart w:id="3" w:name="_DV_M280"/>
      <w:bookmarkStart w:id="4" w:name="_DV_M281"/>
      <w:bookmarkStart w:id="5" w:name="_DV_M282"/>
      <w:bookmarkStart w:id="6" w:name="_DV_M283"/>
      <w:bookmarkStart w:id="7" w:name="_DV_M284"/>
      <w:bookmarkStart w:id="8" w:name="_DV_M285"/>
      <w:bookmarkStart w:id="9" w:name="_DV_M286"/>
      <w:bookmarkStart w:id="10" w:name="_DV_M287"/>
      <w:bookmarkStart w:id="11" w:name="_DV_M288"/>
      <w:bookmarkStart w:id="12" w:name="_DV_M289"/>
      <w:bookmarkStart w:id="13" w:name="_DV_M290"/>
      <w:bookmarkStart w:id="14" w:name="_DV_M291"/>
      <w:bookmarkStart w:id="15" w:name="_DV_M292"/>
      <w:bookmarkStart w:id="16" w:name="_DV_M293"/>
      <w:bookmarkStart w:id="17" w:name="_DV_M294"/>
      <w:bookmarkStart w:id="18" w:name="_DV_M295"/>
      <w:bookmarkStart w:id="19" w:name="_DV_M296"/>
      <w:bookmarkStart w:id="20" w:name="_DV_M297"/>
      <w:bookmarkStart w:id="21" w:name="_DV_M298"/>
      <w:bookmarkStart w:id="22" w:name="_DV_M299"/>
      <w:bookmarkStart w:id="23" w:name="_DV_M300"/>
      <w:bookmarkStart w:id="24" w:name="_DV_M301"/>
      <w:bookmarkStart w:id="25" w:name="_DV_M302"/>
      <w:bookmarkStart w:id="26" w:name="_DV_M303"/>
      <w:bookmarkStart w:id="27" w:name="_DV_M304"/>
      <w:bookmarkStart w:id="28" w:name="_DV_M305"/>
      <w:bookmarkStart w:id="29" w:name="_DV_M306"/>
      <w:bookmarkStart w:id="30" w:name="_DV_M307"/>
      <w:bookmarkStart w:id="31" w:name="_DV_M308"/>
      <w:bookmarkStart w:id="32" w:name="_DV_M309"/>
      <w:bookmarkStart w:id="33" w:name="_DV_M310"/>
      <w:bookmarkStart w:id="34" w:name="_DV_M311"/>
      <w:bookmarkStart w:id="35" w:name="_DV_M312"/>
      <w:bookmarkStart w:id="36" w:name="_DV_M313"/>
      <w:bookmarkStart w:id="37" w:name="_DV_M314"/>
      <w:bookmarkStart w:id="38" w:name="_DV_M315"/>
      <w:bookmarkStart w:id="39" w:name="_DV_M316"/>
      <w:bookmarkStart w:id="40" w:name="_DV_M317"/>
      <w:bookmarkStart w:id="41" w:name="_DV_M318"/>
      <w:bookmarkStart w:id="42" w:name="_DV_M319"/>
      <w:bookmarkStart w:id="43" w:name="_DV_M320"/>
      <w:bookmarkStart w:id="44" w:name="_DV_M321"/>
      <w:bookmarkStart w:id="45" w:name="_DV_M322"/>
      <w:bookmarkStart w:id="46" w:name="_DV_M323"/>
      <w:bookmarkStart w:id="47" w:name="_DV_M324"/>
      <w:bookmarkStart w:id="48" w:name="_DV_M325"/>
      <w:bookmarkStart w:id="49" w:name="_DV_M326"/>
      <w:bookmarkStart w:id="50" w:name="_DV_M327"/>
      <w:bookmarkStart w:id="51" w:name="_DV_M328"/>
      <w:bookmarkStart w:id="52" w:name="_DV_M329"/>
      <w:bookmarkStart w:id="53" w:name="_DV_M330"/>
      <w:bookmarkStart w:id="54" w:name="_DV_M331"/>
      <w:bookmarkStart w:id="55" w:name="_DV_M332"/>
      <w:bookmarkStart w:id="56" w:name="_DV_M333"/>
      <w:bookmarkStart w:id="57" w:name="_DV_M334"/>
      <w:bookmarkStart w:id="58" w:name="_DV_M335"/>
      <w:bookmarkStart w:id="59" w:name="_DV_M336"/>
      <w:bookmarkStart w:id="60" w:name="_DV_M337"/>
      <w:bookmarkStart w:id="61" w:name="_DV_M338"/>
      <w:bookmarkStart w:id="62" w:name="_DV_M339"/>
      <w:bookmarkStart w:id="63" w:name="_DV_M340"/>
      <w:bookmarkStart w:id="64" w:name="_DV_M341"/>
      <w:bookmarkStart w:id="65" w:name="_DV_M342"/>
      <w:bookmarkStart w:id="66" w:name="_DV_M343"/>
      <w:bookmarkStart w:id="67" w:name="_DV_M344"/>
      <w:bookmarkStart w:id="68" w:name="_DV_M345"/>
      <w:bookmarkStart w:id="69" w:name="_DV_M346"/>
      <w:bookmarkStart w:id="70" w:name="_DV_M347"/>
      <w:bookmarkStart w:id="71" w:name="_DV_M348"/>
      <w:bookmarkStart w:id="72" w:name="_DV_M349"/>
      <w:bookmarkStart w:id="73" w:name="_DV_M350"/>
      <w:bookmarkStart w:id="74" w:name="_DV_M351"/>
      <w:bookmarkStart w:id="75" w:name="_DV_M352"/>
      <w:bookmarkStart w:id="76" w:name="_DV_M353"/>
      <w:bookmarkStart w:id="77" w:name="_DV_M354"/>
      <w:bookmarkStart w:id="78" w:name="_DV_M355"/>
      <w:bookmarkStart w:id="79" w:name="_DV_M356"/>
      <w:bookmarkStart w:id="80" w:name="_DV_M357"/>
      <w:bookmarkStart w:id="81" w:name="_DV_M358"/>
      <w:bookmarkStart w:id="82" w:name="_DV_M359"/>
      <w:bookmarkStart w:id="83" w:name="_DV_M360"/>
      <w:bookmarkStart w:id="84" w:name="_DV_M361"/>
      <w:bookmarkStart w:id="85" w:name="Cell_Ins"/>
      <w:bookmarkStart w:id="86" w:name="Cell_Del"/>
      <w:bookmarkStart w:id="87" w:name="Cell_Move"/>
      <w:bookmarkStart w:id="88" w:name="Cell_Merge"/>
      <w:bookmarkStart w:id="89" w:name="Cell_Pad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86453D">
        <w:rPr>
          <w:color w:val="000000"/>
          <w:szCs w:val="20"/>
        </w:rPr>
        <w:t>The Reply to the Initial Pleading shall include the following:</w:t>
      </w:r>
    </w:p>
    <w:p w:rsidR="0086453D" w:rsidRPr="0086453D" w:rsidRDefault="0086453D" w:rsidP="00CE4331">
      <w:pPr>
        <w:rPr>
          <w:color w:val="000000"/>
          <w:szCs w:val="20"/>
        </w:rPr>
      </w:pPr>
    </w:p>
    <w:p w:rsidR="0086453D" w:rsidRPr="0086453D" w:rsidRDefault="0086453D" w:rsidP="0086453D">
      <w:pPr>
        <w:numPr>
          <w:ilvl w:val="0"/>
          <w:numId w:val="1"/>
        </w:numPr>
        <w:autoSpaceDE w:val="0"/>
        <w:autoSpaceDN w:val="0"/>
        <w:adjustRightInd w:val="0"/>
        <w:ind w:left="2160" w:hanging="720"/>
      </w:pPr>
      <w:r w:rsidRPr="0086453D">
        <w:rPr>
          <w:color w:val="000000"/>
          <w:szCs w:val="20"/>
        </w:rPr>
        <w:t>a statement explaining why the application that is the subject of the appeal was denied or conditions were applied, which may include an appeal of IHDA</w:t>
      </w:r>
      <w:r w:rsidR="003B6DA3">
        <w:rPr>
          <w:color w:val="000000"/>
          <w:szCs w:val="20"/>
        </w:rPr>
        <w:t>'</w:t>
      </w:r>
      <w:r w:rsidRPr="0086453D">
        <w:rPr>
          <w:color w:val="000000"/>
          <w:szCs w:val="20"/>
        </w:rPr>
        <w:t xml:space="preserve">s determination of the non-exempt status of the Local Government under the Act as set forth in Section </w:t>
      </w:r>
      <w:r w:rsidR="00E03B71">
        <w:rPr>
          <w:color w:val="000000"/>
          <w:szCs w:val="20"/>
        </w:rPr>
        <w:t>395.</w:t>
      </w:r>
      <w:r w:rsidRPr="0086453D">
        <w:rPr>
          <w:color w:val="000000"/>
          <w:szCs w:val="20"/>
        </w:rPr>
        <w:t>401</w:t>
      </w:r>
      <w:r w:rsidR="00E03B71">
        <w:rPr>
          <w:color w:val="000000"/>
          <w:szCs w:val="20"/>
        </w:rPr>
        <w:t>.</w:t>
      </w:r>
      <w:r w:rsidRPr="0086453D">
        <w:rPr>
          <w:color w:val="000000"/>
          <w:szCs w:val="20"/>
        </w:rPr>
        <w:t xml:space="preserve"> </w:t>
      </w:r>
      <w:r w:rsidR="00E03B71">
        <w:rPr>
          <w:color w:val="000000"/>
          <w:szCs w:val="20"/>
        </w:rPr>
        <w:t>I</w:t>
      </w:r>
      <w:r w:rsidRPr="0086453D">
        <w:rPr>
          <w:color w:val="000000"/>
          <w:szCs w:val="20"/>
        </w:rPr>
        <w:t xml:space="preserve">f the Approving Authority denied an application or imposed conditions because it concluded that the Affordable Housing Developer did not comply with all Non-Appealable Local Government Requirements, the Reply to the Initial Pleading must specify the requirements that justify the denial or the imposition of changes; </w:t>
      </w:r>
    </w:p>
    <w:p w:rsidR="0086453D" w:rsidRPr="0086453D" w:rsidRDefault="0086453D" w:rsidP="00CE4331"/>
    <w:p w:rsidR="0086453D" w:rsidRPr="0086453D" w:rsidRDefault="0086453D" w:rsidP="0086453D">
      <w:pPr>
        <w:numPr>
          <w:ilvl w:val="0"/>
          <w:numId w:val="1"/>
        </w:numPr>
        <w:autoSpaceDE w:val="0"/>
        <w:autoSpaceDN w:val="0"/>
        <w:adjustRightInd w:val="0"/>
        <w:ind w:left="2160" w:hanging="720"/>
      </w:pPr>
      <w:r w:rsidRPr="0086453D">
        <w:t>a record of the vote on the Affordable Housing Developer</w:t>
      </w:r>
      <w:r w:rsidR="003B6DA3">
        <w:t>'</w:t>
      </w:r>
      <w:r w:rsidRPr="0086453D">
        <w:t>s application that is the subject of the appeal; and</w:t>
      </w:r>
    </w:p>
    <w:p w:rsidR="0086453D" w:rsidRPr="0086453D" w:rsidRDefault="0086453D" w:rsidP="00CE4331"/>
    <w:p w:rsidR="0086453D" w:rsidRPr="0086453D" w:rsidRDefault="0086453D" w:rsidP="0086453D">
      <w:pPr>
        <w:numPr>
          <w:ilvl w:val="0"/>
          <w:numId w:val="1"/>
        </w:numPr>
        <w:autoSpaceDE w:val="0"/>
        <w:autoSpaceDN w:val="0"/>
        <w:adjustRightInd w:val="0"/>
        <w:ind w:left="2160" w:hanging="720"/>
      </w:pPr>
      <w:r w:rsidRPr="0086453D">
        <w:t>any findings of fact</w:t>
      </w:r>
      <w:r w:rsidR="000C333C">
        <w:t xml:space="preserve"> related to the application</w:t>
      </w:r>
      <w:r w:rsidRPr="0086453D">
        <w:t>.</w:t>
      </w:r>
    </w:p>
    <w:p w:rsidR="0086453D" w:rsidRPr="0086453D" w:rsidRDefault="0086453D" w:rsidP="0086453D"/>
    <w:p w:rsidR="0086453D" w:rsidRPr="0086453D" w:rsidRDefault="0086453D" w:rsidP="0086453D">
      <w:pPr>
        <w:ind w:left="1440" w:hanging="720"/>
      </w:pPr>
      <w:r w:rsidRPr="0086453D">
        <w:t>c)</w:t>
      </w:r>
      <w:r w:rsidRPr="0086453D">
        <w:tab/>
        <w:t>The failure to file a Reply to the Initial Pleading shall be deemed a general denial of matters asserted in the Initial Pleading and a waiver of all affirmative defenses.</w:t>
      </w:r>
    </w:p>
    <w:p w:rsidR="0086453D" w:rsidRPr="0086453D" w:rsidRDefault="0086453D" w:rsidP="00CE4331"/>
    <w:p w:rsidR="0086453D" w:rsidRDefault="0086453D" w:rsidP="0086453D">
      <w:pPr>
        <w:ind w:left="1440" w:hanging="720"/>
      </w:pPr>
      <w:r w:rsidRPr="0086453D">
        <w:t>d)</w:t>
      </w:r>
      <w:r w:rsidRPr="0086453D">
        <w:tab/>
        <w:t xml:space="preserve">A party may participate in the hearing without forfeiting any jurisdictional objection, if </w:t>
      </w:r>
      <w:r w:rsidR="00E03B71">
        <w:t>the</w:t>
      </w:r>
      <w:r w:rsidRPr="0086453D">
        <w:t xml:space="preserve"> objection is made within 15 Days after receipt of the Notice of Appeal</w:t>
      </w:r>
      <w:r w:rsidR="00E03B71">
        <w:t>.</w:t>
      </w:r>
      <w:r w:rsidRPr="0086453D">
        <w:t xml:space="preserve"> Any party may file a response to the objection within 15 Days after service.</w:t>
      </w:r>
    </w:p>
    <w:p w:rsidR="000C333C" w:rsidRDefault="000C333C" w:rsidP="00CE4331">
      <w:bookmarkStart w:id="90" w:name="_GoBack"/>
      <w:bookmarkEnd w:id="90"/>
    </w:p>
    <w:p w:rsidR="000C333C" w:rsidRPr="0086453D" w:rsidRDefault="000C333C" w:rsidP="0086453D">
      <w:pPr>
        <w:ind w:left="1440" w:hanging="720"/>
      </w:pPr>
      <w:r>
        <w:t xml:space="preserve">(Source:  Amended at 43 Ill. Reg. </w:t>
      </w:r>
      <w:r w:rsidR="00FD37E2">
        <w:t>11314</w:t>
      </w:r>
      <w:r>
        <w:t xml:space="preserve">, effective </w:t>
      </w:r>
      <w:r w:rsidR="00FD37E2">
        <w:t>September 26, 2019</w:t>
      </w:r>
      <w:r>
        <w:t>)</w:t>
      </w:r>
    </w:p>
    <w:sectPr w:rsidR="000C333C" w:rsidRPr="0086453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53D" w:rsidRDefault="0086453D">
      <w:r>
        <w:separator/>
      </w:r>
    </w:p>
  </w:endnote>
  <w:endnote w:type="continuationSeparator" w:id="0">
    <w:p w:rsidR="0086453D" w:rsidRDefault="0086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53D" w:rsidRDefault="0086453D">
      <w:r>
        <w:separator/>
      </w:r>
    </w:p>
  </w:footnote>
  <w:footnote w:type="continuationSeparator" w:id="0">
    <w:p w:rsidR="0086453D" w:rsidRDefault="00864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042"/>
    <w:multiLevelType w:val="hybridMultilevel"/>
    <w:tmpl w:val="3A902EB2"/>
    <w:lvl w:ilvl="0" w:tplc="80F474E6">
      <w:start w:val="1"/>
      <w:numFmt w:val="decimal"/>
      <w:lvlText w:val="%1)"/>
      <w:lvlJc w:val="left"/>
      <w:pPr>
        <w:ind w:left="18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3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333C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000D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6DA3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53D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46AE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331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6FE9"/>
    <w:rsid w:val="00DC7214"/>
    <w:rsid w:val="00DD3C9D"/>
    <w:rsid w:val="00DE3439"/>
    <w:rsid w:val="00DE42D9"/>
    <w:rsid w:val="00DE5010"/>
    <w:rsid w:val="00DF0813"/>
    <w:rsid w:val="00DF25BD"/>
    <w:rsid w:val="00E03B7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04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7E2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F5FB9D-437F-4C87-8955-96ABBE43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>Illinois General Assembly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4</cp:revision>
  <dcterms:created xsi:type="dcterms:W3CDTF">2019-08-27T14:25:00Z</dcterms:created>
  <dcterms:modified xsi:type="dcterms:W3CDTF">2019-10-08T16:53:00Z</dcterms:modified>
</cp:coreProperties>
</file>