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65" w:rsidRDefault="00A22A65" w:rsidP="00A22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A65" w:rsidRDefault="00A22A65" w:rsidP="00A22A65">
      <w:pPr>
        <w:widowControl w:val="0"/>
        <w:autoSpaceDE w:val="0"/>
        <w:autoSpaceDN w:val="0"/>
        <w:adjustRightInd w:val="0"/>
      </w:pPr>
      <w:r>
        <w:t>SOURCE:  Filed July 11, 1958; codified at 7 Ill. Reg. 3457; amended at 8 Ill. Reg. 1</w:t>
      </w:r>
      <w:r w:rsidR="007058FB">
        <w:t xml:space="preserve">2222, effective July 13, 1984. </w:t>
      </w:r>
    </w:p>
    <w:sectPr w:rsidR="00A22A65" w:rsidSect="00A22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A65"/>
    <w:rsid w:val="0028396F"/>
    <w:rsid w:val="005C3366"/>
    <w:rsid w:val="007058FB"/>
    <w:rsid w:val="00902333"/>
    <w:rsid w:val="00A22A65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