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7B" w:rsidRDefault="00EC2C7B" w:rsidP="00EC2C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C7B" w:rsidRDefault="00EC2C7B" w:rsidP="00EC2C7B">
      <w:pPr>
        <w:widowControl w:val="0"/>
        <w:autoSpaceDE w:val="0"/>
        <w:autoSpaceDN w:val="0"/>
        <w:adjustRightInd w:val="0"/>
      </w:pPr>
      <w:r>
        <w:t xml:space="preserve">SOURCE:  Filed December 29, 1969, effective January 1, 1970; amended at 2 Ill. Reg. 48, p. 38, effective November 30, 1978; codified at 7 Ill. Reg. 9302. </w:t>
      </w:r>
      <w:r>
        <w:tab/>
      </w:r>
    </w:p>
    <w:sectPr w:rsidR="00EC2C7B" w:rsidSect="00EC2C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C7B"/>
    <w:rsid w:val="005C3366"/>
    <w:rsid w:val="009749F3"/>
    <w:rsid w:val="00B3241F"/>
    <w:rsid w:val="00D054D3"/>
    <w:rsid w:val="00E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29, 1969, effective January 1, 1970; amended at 2 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29, 1969, effective January 1, 1970; amended at 2 Ill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