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EB" w:rsidRDefault="002D7BEB" w:rsidP="002D7BE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D7BEB" w:rsidRDefault="002D7BEB" w:rsidP="002D7BEB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806.50  Documentation Requirements</w:t>
      </w:r>
      <w:r>
        <w:t xml:space="preserve"> </w:t>
      </w:r>
    </w:p>
    <w:p w:rsidR="002D7BEB" w:rsidRDefault="002D7BEB" w:rsidP="002D7BEB">
      <w:pPr>
        <w:widowControl w:val="0"/>
        <w:autoSpaceDE w:val="0"/>
        <w:autoSpaceDN w:val="0"/>
        <w:adjustRightInd w:val="0"/>
      </w:pPr>
    </w:p>
    <w:p w:rsidR="002D7BEB" w:rsidRDefault="002D7BEB" w:rsidP="002D7BEB">
      <w:pPr>
        <w:widowControl w:val="0"/>
        <w:autoSpaceDE w:val="0"/>
        <w:autoSpaceDN w:val="0"/>
        <w:adjustRightInd w:val="0"/>
      </w:pPr>
      <w:r>
        <w:t xml:space="preserve">An insurer shall maintain documentation and records relating to each derivative transaction, including, but not limited to: </w:t>
      </w:r>
    </w:p>
    <w:p w:rsidR="006F1494" w:rsidRDefault="006F1494" w:rsidP="002D7BEB">
      <w:pPr>
        <w:widowControl w:val="0"/>
        <w:autoSpaceDE w:val="0"/>
        <w:autoSpaceDN w:val="0"/>
        <w:adjustRightInd w:val="0"/>
      </w:pPr>
    </w:p>
    <w:p w:rsidR="002D7BEB" w:rsidRDefault="002D7BEB" w:rsidP="002D7BEB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 purpose or purposes of the transaction; </w:t>
      </w:r>
    </w:p>
    <w:p w:rsidR="006F1494" w:rsidRDefault="006F1494" w:rsidP="002D7BEB">
      <w:pPr>
        <w:widowControl w:val="0"/>
        <w:autoSpaceDE w:val="0"/>
        <w:autoSpaceDN w:val="0"/>
        <w:adjustRightInd w:val="0"/>
        <w:ind w:left="1440" w:hanging="720"/>
      </w:pPr>
    </w:p>
    <w:p w:rsidR="002D7BEB" w:rsidRDefault="002D7BEB" w:rsidP="002D7BEB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assets or liabilities to which the transaction relates; </w:t>
      </w:r>
    </w:p>
    <w:p w:rsidR="006F1494" w:rsidRDefault="006F1494" w:rsidP="002D7BEB">
      <w:pPr>
        <w:widowControl w:val="0"/>
        <w:autoSpaceDE w:val="0"/>
        <w:autoSpaceDN w:val="0"/>
        <w:adjustRightInd w:val="0"/>
        <w:ind w:left="1440" w:hanging="720"/>
      </w:pPr>
    </w:p>
    <w:p w:rsidR="002D7BEB" w:rsidRDefault="002D7BEB" w:rsidP="002D7BEB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specific derivative instrument used in the transaction; </w:t>
      </w:r>
    </w:p>
    <w:p w:rsidR="006F1494" w:rsidRDefault="006F1494" w:rsidP="002D7BEB">
      <w:pPr>
        <w:widowControl w:val="0"/>
        <w:autoSpaceDE w:val="0"/>
        <w:autoSpaceDN w:val="0"/>
        <w:adjustRightInd w:val="0"/>
        <w:ind w:left="1440" w:hanging="720"/>
      </w:pPr>
    </w:p>
    <w:p w:rsidR="002D7BEB" w:rsidRDefault="002D7BEB" w:rsidP="002D7BEB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For over-the-counter derivative instrument transactions, the name of the counterparty and the counterparty exposure amount; and </w:t>
      </w:r>
    </w:p>
    <w:p w:rsidR="006F1494" w:rsidRDefault="006F1494" w:rsidP="002D7BEB">
      <w:pPr>
        <w:widowControl w:val="0"/>
        <w:autoSpaceDE w:val="0"/>
        <w:autoSpaceDN w:val="0"/>
        <w:adjustRightInd w:val="0"/>
        <w:ind w:left="1440" w:hanging="720"/>
      </w:pPr>
    </w:p>
    <w:p w:rsidR="002D7BEB" w:rsidRDefault="002D7BEB" w:rsidP="002D7BEB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For exchange traded derivative instruments, the name of the exchange and the name of the firm that handled the trade. </w:t>
      </w:r>
    </w:p>
    <w:sectPr w:rsidR="002D7BEB" w:rsidSect="002D7BE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D7BEB"/>
    <w:rsid w:val="002D7BEB"/>
    <w:rsid w:val="004323E6"/>
    <w:rsid w:val="005C3366"/>
    <w:rsid w:val="006F1494"/>
    <w:rsid w:val="00F51666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806</vt:lpstr>
    </vt:vector>
  </TitlesOfParts>
  <Company>state of illinois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806</dc:title>
  <dc:subject/>
  <dc:creator>Illinois General Assembly</dc:creator>
  <cp:keywords/>
  <dc:description/>
  <cp:lastModifiedBy>Roberts, John</cp:lastModifiedBy>
  <cp:revision>3</cp:revision>
  <dcterms:created xsi:type="dcterms:W3CDTF">2012-06-21T18:13:00Z</dcterms:created>
  <dcterms:modified xsi:type="dcterms:W3CDTF">2012-06-21T18:13:00Z</dcterms:modified>
</cp:coreProperties>
</file>