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D6" w:rsidRDefault="00B17ED6" w:rsidP="00B17ED6">
      <w:pPr>
        <w:widowControl w:val="0"/>
        <w:autoSpaceDE w:val="0"/>
        <w:autoSpaceDN w:val="0"/>
        <w:adjustRightInd w:val="0"/>
      </w:pPr>
      <w:bookmarkStart w:id="0" w:name="_GoBack"/>
      <w:bookmarkEnd w:id="0"/>
    </w:p>
    <w:p w:rsidR="00B17ED6" w:rsidRDefault="00B17ED6" w:rsidP="00B17ED6">
      <w:pPr>
        <w:widowControl w:val="0"/>
        <w:autoSpaceDE w:val="0"/>
        <w:autoSpaceDN w:val="0"/>
        <w:adjustRightInd w:val="0"/>
      </w:pPr>
      <w:r>
        <w:rPr>
          <w:b/>
          <w:bCs/>
        </w:rPr>
        <w:t>Section 903.430  Allocation to Expense Groups</w:t>
      </w:r>
      <w:r>
        <w:t xml:space="preserve"> </w:t>
      </w:r>
    </w:p>
    <w:p w:rsidR="00B17ED6" w:rsidRDefault="00B17ED6" w:rsidP="00B17ED6">
      <w:pPr>
        <w:widowControl w:val="0"/>
        <w:autoSpaceDE w:val="0"/>
        <w:autoSpaceDN w:val="0"/>
        <w:adjustRightInd w:val="0"/>
      </w:pPr>
    </w:p>
    <w:p w:rsidR="00B17ED6" w:rsidRDefault="00B17ED6" w:rsidP="00B17ED6">
      <w:pPr>
        <w:widowControl w:val="0"/>
        <w:autoSpaceDE w:val="0"/>
        <w:autoSpaceDN w:val="0"/>
        <w:adjustRightInd w:val="0"/>
        <w:ind w:left="1440" w:hanging="720"/>
      </w:pPr>
      <w:r>
        <w:t>a)</w:t>
      </w:r>
      <w:r>
        <w:tab/>
        <w:t xml:space="preserve">Expenses shall be allocated to expense groups as follows: </w:t>
      </w:r>
    </w:p>
    <w:p w:rsidR="00B17ED6" w:rsidRDefault="00B17ED6" w:rsidP="00B17ED6">
      <w:pPr>
        <w:widowControl w:val="0"/>
        <w:autoSpaceDE w:val="0"/>
        <w:autoSpaceDN w:val="0"/>
        <w:adjustRightInd w:val="0"/>
      </w:pPr>
    </w:p>
    <w:tbl>
      <w:tblPr>
        <w:tblW w:w="0" w:type="auto"/>
        <w:tblInd w:w="1590" w:type="dxa"/>
        <w:tblLook w:val="0000" w:firstRow="0" w:lastRow="0" w:firstColumn="0" w:lastColumn="0" w:noHBand="0" w:noVBand="0"/>
      </w:tblPr>
      <w:tblGrid>
        <w:gridCol w:w="3363"/>
        <w:gridCol w:w="1197"/>
        <w:gridCol w:w="3426"/>
      </w:tblGrid>
      <w:tr w:rsidR="00705804">
        <w:tblPrEx>
          <w:tblCellMar>
            <w:top w:w="0" w:type="dxa"/>
            <w:bottom w:w="0" w:type="dxa"/>
          </w:tblCellMar>
        </w:tblPrEx>
        <w:tc>
          <w:tcPr>
            <w:tcW w:w="3363" w:type="dxa"/>
          </w:tcPr>
          <w:p w:rsidR="00705804" w:rsidRDefault="00705804" w:rsidP="00117D84">
            <w:pPr>
              <w:widowControl w:val="0"/>
              <w:autoSpaceDE w:val="0"/>
              <w:autoSpaceDN w:val="0"/>
              <w:adjustRightInd w:val="0"/>
              <w:jc w:val="center"/>
            </w:pPr>
            <w:r>
              <w:t>Expenses to Be Allocated</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jc w:val="center"/>
            </w:pPr>
            <w:r>
              <w:t>Allocation</w:t>
            </w:r>
          </w:p>
        </w:tc>
      </w:tr>
      <w:tr w:rsidR="00705804">
        <w:tblPrEx>
          <w:tblCellMar>
            <w:top w:w="0" w:type="dxa"/>
            <w:bottom w:w="0" w:type="dxa"/>
          </w:tblCellMar>
        </w:tblPrEx>
        <w:tc>
          <w:tcPr>
            <w:tcW w:w="3363" w:type="dxa"/>
            <w:tcBorders>
              <w:bottom w:val="single" w:sz="4" w:space="0" w:color="auto"/>
            </w:tcBorders>
          </w:tcPr>
          <w:p w:rsidR="00705804" w:rsidRDefault="00705804" w:rsidP="00117D84">
            <w:pPr>
              <w:widowControl w:val="0"/>
              <w:autoSpaceDE w:val="0"/>
              <w:autoSpaceDN w:val="0"/>
              <w:adjustRightInd w:val="0"/>
              <w:jc w:val="center"/>
            </w:pPr>
            <w:r>
              <w:t>to Expense Groups</w:t>
            </w:r>
          </w:p>
        </w:tc>
        <w:tc>
          <w:tcPr>
            <w:tcW w:w="1197" w:type="dxa"/>
          </w:tcPr>
          <w:p w:rsidR="00705804" w:rsidRDefault="00705804" w:rsidP="00117D84">
            <w:pPr>
              <w:widowControl w:val="0"/>
              <w:autoSpaceDE w:val="0"/>
              <w:autoSpaceDN w:val="0"/>
              <w:adjustRightInd w:val="0"/>
            </w:pPr>
          </w:p>
        </w:tc>
        <w:tc>
          <w:tcPr>
            <w:tcW w:w="3426" w:type="dxa"/>
            <w:tcBorders>
              <w:bottom w:val="single" w:sz="4" w:space="0" w:color="auto"/>
            </w:tcBorders>
          </w:tcPr>
          <w:p w:rsidR="00705804" w:rsidRDefault="00705804" w:rsidP="00117D84">
            <w:pPr>
              <w:widowControl w:val="0"/>
              <w:autoSpaceDE w:val="0"/>
              <w:autoSpaceDN w:val="0"/>
              <w:adjustRightInd w:val="0"/>
              <w:jc w:val="center"/>
            </w:pPr>
            <w:r>
              <w:t>to Expense Groups</w:t>
            </w:r>
          </w:p>
        </w:tc>
      </w:tr>
      <w:tr w:rsidR="00705804">
        <w:tblPrEx>
          <w:tblCellMar>
            <w:top w:w="0" w:type="dxa"/>
            <w:bottom w:w="0" w:type="dxa"/>
          </w:tblCellMar>
        </w:tblPrEx>
        <w:tc>
          <w:tcPr>
            <w:tcW w:w="3363" w:type="dxa"/>
            <w:tcBorders>
              <w:top w:val="single" w:sz="4" w:space="0" w:color="auto"/>
            </w:tcBorders>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Borders>
              <w:top w:val="single" w:sz="4" w:space="0" w:color="auto"/>
            </w:tcBorders>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vMerge w:val="restart"/>
          </w:tcPr>
          <w:p w:rsidR="00705804" w:rsidRDefault="00705804" w:rsidP="00117D84">
            <w:pPr>
              <w:widowControl w:val="0"/>
              <w:autoSpaceDE w:val="0"/>
              <w:autoSpaceDN w:val="0"/>
              <w:adjustRightInd w:val="0"/>
            </w:pPr>
            <w:r>
              <w:t>Claim Adjust. Services:</w:t>
            </w:r>
          </w:p>
          <w:p w:rsidR="00705804" w:rsidRDefault="00705804" w:rsidP="00117D84">
            <w:pPr>
              <w:widowControl w:val="0"/>
              <w:autoSpaceDE w:val="0"/>
              <w:autoSpaceDN w:val="0"/>
              <w:adjustRightInd w:val="0"/>
              <w:ind w:firstLine="405"/>
            </w:pPr>
            <w:r>
              <w:t>Direct</w:t>
            </w:r>
          </w:p>
          <w:p w:rsidR="00705804" w:rsidRDefault="00705804" w:rsidP="00117D84">
            <w:pPr>
              <w:widowControl w:val="0"/>
              <w:autoSpaceDE w:val="0"/>
              <w:autoSpaceDN w:val="0"/>
              <w:adjustRightInd w:val="0"/>
              <w:ind w:firstLine="405"/>
            </w:pPr>
            <w:r>
              <w:t>Reinsurance Assumed</w:t>
            </w:r>
          </w:p>
          <w:p w:rsidR="00705804" w:rsidRDefault="00705804" w:rsidP="00117D84">
            <w:pPr>
              <w:widowControl w:val="0"/>
              <w:autoSpaceDE w:val="0"/>
              <w:autoSpaceDN w:val="0"/>
              <w:adjustRightInd w:val="0"/>
              <w:ind w:firstLine="405"/>
            </w:pPr>
            <w:r>
              <w:t>Reinsurance Ceded</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vMerge/>
          </w:tcPr>
          <w:p w:rsidR="00705804" w:rsidRDefault="00705804" w:rsidP="00117D84">
            <w:pPr>
              <w:widowControl w:val="0"/>
              <w:autoSpaceDE w:val="0"/>
              <w:autoSpaceDN w:val="0"/>
              <w:adjustRightInd w:val="0"/>
              <w:ind w:firstLine="405"/>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Loss Adjust. Expenses</w:t>
            </w:r>
          </w:p>
        </w:tc>
      </w:tr>
      <w:tr w:rsidR="00705804">
        <w:tblPrEx>
          <w:tblCellMar>
            <w:top w:w="0" w:type="dxa"/>
            <w:bottom w:w="0" w:type="dxa"/>
          </w:tblCellMar>
        </w:tblPrEx>
        <w:tc>
          <w:tcPr>
            <w:tcW w:w="3363" w:type="dxa"/>
            <w:vMerge/>
          </w:tcPr>
          <w:p w:rsidR="00705804" w:rsidRDefault="00705804" w:rsidP="00117D84">
            <w:pPr>
              <w:widowControl w:val="0"/>
              <w:autoSpaceDE w:val="0"/>
              <w:autoSpaceDN w:val="0"/>
              <w:adjustRightInd w:val="0"/>
              <w:ind w:firstLine="405"/>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Loss Adjust. Expenses</w:t>
            </w:r>
          </w:p>
        </w:tc>
      </w:tr>
      <w:tr w:rsidR="00705804">
        <w:tblPrEx>
          <w:tblCellMar>
            <w:top w:w="0" w:type="dxa"/>
            <w:bottom w:w="0" w:type="dxa"/>
          </w:tblCellMar>
        </w:tblPrEx>
        <w:tc>
          <w:tcPr>
            <w:tcW w:w="3363" w:type="dxa"/>
            <w:vMerge/>
          </w:tcPr>
          <w:p w:rsidR="00705804" w:rsidRDefault="00705804" w:rsidP="00117D84">
            <w:pPr>
              <w:widowControl w:val="0"/>
              <w:autoSpaceDE w:val="0"/>
              <w:autoSpaceDN w:val="0"/>
              <w:adjustRightInd w:val="0"/>
              <w:ind w:firstLine="405"/>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Loss Adjust.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Commission &amp; Brokerage:</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See Commission</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firstLine="234"/>
            </w:pPr>
            <w:r>
              <w:t>and Allowances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34"/>
            </w:pPr>
          </w:p>
        </w:tc>
      </w:tr>
      <w:tr w:rsidR="00705804">
        <w:tblPrEx>
          <w:tblCellMar>
            <w:top w:w="0" w:type="dxa"/>
            <w:bottom w:w="0" w:type="dxa"/>
          </w:tblCellMar>
        </w:tblPrEx>
        <w:tc>
          <w:tcPr>
            <w:tcW w:w="3363" w:type="dxa"/>
          </w:tcPr>
          <w:p w:rsidR="00705804" w:rsidRDefault="00705804" w:rsidP="00705804">
            <w:pPr>
              <w:widowControl w:val="0"/>
              <w:autoSpaceDE w:val="0"/>
              <w:autoSpaceDN w:val="0"/>
              <w:adjustRightInd w:val="0"/>
              <w:ind w:left="405"/>
            </w:pPr>
            <w:r>
              <w:t>Direct</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34"/>
            </w:pPr>
            <w:r>
              <w:t>(Subpart C,</w:t>
            </w:r>
          </w:p>
          <w:p w:rsidR="00705804" w:rsidRDefault="00705804" w:rsidP="00117D84">
            <w:pPr>
              <w:widowControl w:val="0"/>
              <w:autoSpaceDE w:val="0"/>
              <w:autoSpaceDN w:val="0"/>
              <w:adjustRightInd w:val="0"/>
              <w:ind w:left="234"/>
            </w:pPr>
            <w:r>
              <w:t>Section 903.420(c)(2))</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Reinsurance Assumed</w:t>
            </w:r>
          </w:p>
        </w:tc>
        <w:tc>
          <w:tcPr>
            <w:tcW w:w="1197" w:type="dxa"/>
          </w:tcPr>
          <w:p w:rsidR="00705804" w:rsidRDefault="00705804" w:rsidP="00117D84">
            <w:pPr>
              <w:widowControl w:val="0"/>
              <w:autoSpaceDE w:val="0"/>
              <w:autoSpaceDN w:val="0"/>
              <w:adjustRightInd w:val="0"/>
            </w:pPr>
          </w:p>
        </w:tc>
        <w:tc>
          <w:tcPr>
            <w:tcW w:w="3426" w:type="dxa"/>
            <w:vMerge w:val="restart"/>
          </w:tcPr>
          <w:p w:rsidR="00705804" w:rsidRDefault="00705804" w:rsidP="00117D84">
            <w:pPr>
              <w:widowControl w:val="0"/>
              <w:autoSpaceDE w:val="0"/>
              <w:autoSpaceDN w:val="0"/>
              <w:adjustRightInd w:val="0"/>
              <w:ind w:left="291" w:hanging="291"/>
            </w:pPr>
            <w:r>
              <w:t>Acquisition, Field Supervision and Collection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vMerge/>
          </w:tcPr>
          <w:p w:rsidR="00705804" w:rsidRDefault="00705804" w:rsidP="00117D84">
            <w:pPr>
              <w:widowControl w:val="0"/>
              <w:autoSpaceDE w:val="0"/>
              <w:autoSpaceDN w:val="0"/>
              <w:adjustRightInd w:val="0"/>
              <w:ind w:left="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Reinsurance Ceded</w:t>
            </w:r>
          </w:p>
        </w:tc>
        <w:tc>
          <w:tcPr>
            <w:tcW w:w="1197" w:type="dxa"/>
          </w:tcPr>
          <w:p w:rsidR="00705804" w:rsidRDefault="00705804" w:rsidP="00117D84">
            <w:pPr>
              <w:widowControl w:val="0"/>
              <w:autoSpaceDE w:val="0"/>
              <w:autoSpaceDN w:val="0"/>
              <w:adjustRightInd w:val="0"/>
            </w:pPr>
          </w:p>
        </w:tc>
        <w:tc>
          <w:tcPr>
            <w:tcW w:w="3426" w:type="dxa"/>
            <w:vMerge w:val="restart"/>
          </w:tcPr>
          <w:p w:rsidR="00705804" w:rsidRDefault="00705804" w:rsidP="00117D84">
            <w:pPr>
              <w:widowControl w:val="0"/>
              <w:autoSpaceDE w:val="0"/>
              <w:autoSpaceDN w:val="0"/>
              <w:adjustRightInd w:val="0"/>
              <w:ind w:left="291" w:hanging="291"/>
            </w:pPr>
            <w:r>
              <w:t>Acquisition, Field Supervision and Collection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vMerge/>
          </w:tcPr>
          <w:p w:rsidR="00705804" w:rsidRDefault="00705804" w:rsidP="00117D84">
            <w:pPr>
              <w:widowControl w:val="0"/>
              <w:autoSpaceDE w:val="0"/>
              <w:autoSpaceDN w:val="0"/>
              <w:adjustRightInd w:val="0"/>
              <w:ind w:left="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Contingent-Net</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r>
              <w:t>Acquisition, Field Supervision and Collection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Policy &amp; Membership Fees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r>
              <w:t>Acquisition, Field Supervision and Collection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ind w:left="405" w:hanging="405"/>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p>
        </w:tc>
      </w:tr>
      <w:tr w:rsidR="00705804">
        <w:tblPrEx>
          <w:tblCellMar>
            <w:top w:w="0" w:type="dxa"/>
            <w:bottom w:w="0" w:type="dxa"/>
          </w:tblCellMar>
        </w:tblPrEx>
        <w:tc>
          <w:tcPr>
            <w:tcW w:w="3363" w:type="dxa"/>
          </w:tcPr>
          <w:p w:rsidR="00705804" w:rsidRDefault="00705804" w:rsidP="00705804">
            <w:pPr>
              <w:widowControl w:val="0"/>
              <w:autoSpaceDE w:val="0"/>
              <w:autoSpaceDN w:val="0"/>
              <w:adjustRightInd w:val="0"/>
              <w:ind w:left="405" w:hanging="405"/>
            </w:pPr>
            <w:r>
              <w:t>Allowances to Managers &amp; Agents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r>
              <w:t>See Commission and Allowances (Subpart C, Section 903.420(c)(2))</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Advertising</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r>
              <w:t xml:space="preserve">Acquisition, Field Super. &amp; </w:t>
            </w:r>
            <w:proofErr w:type="spellStart"/>
            <w:r>
              <w:t>Collec</w:t>
            </w:r>
            <w:proofErr w:type="spellEnd"/>
            <w:r>
              <w:t>. Exp.</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Boards, Bureaus &amp; Assn.</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General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ind w:left="348" w:hanging="342"/>
            </w:pPr>
          </w:p>
        </w:tc>
        <w:tc>
          <w:tcPr>
            <w:tcW w:w="1197" w:type="dxa"/>
          </w:tcPr>
          <w:p w:rsidR="00705804" w:rsidRDefault="00705804" w:rsidP="00117D84">
            <w:pPr>
              <w:widowControl w:val="0"/>
              <w:autoSpaceDE w:val="0"/>
              <w:autoSpaceDN w:val="0"/>
              <w:adjustRightInd w:val="0"/>
            </w:pPr>
          </w:p>
        </w:tc>
        <w:tc>
          <w:tcPr>
            <w:tcW w:w="3426" w:type="dxa"/>
            <w:vAlign w:val="bottom"/>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ind w:left="348" w:hanging="342"/>
            </w:pPr>
            <w:r>
              <w:t>Surveys &amp; Underwriting Reports</w:t>
            </w:r>
          </w:p>
        </w:tc>
        <w:tc>
          <w:tcPr>
            <w:tcW w:w="1197" w:type="dxa"/>
          </w:tcPr>
          <w:p w:rsidR="00705804" w:rsidRDefault="00705804" w:rsidP="00117D84">
            <w:pPr>
              <w:widowControl w:val="0"/>
              <w:autoSpaceDE w:val="0"/>
              <w:autoSpaceDN w:val="0"/>
              <w:adjustRightInd w:val="0"/>
            </w:pPr>
          </w:p>
        </w:tc>
        <w:tc>
          <w:tcPr>
            <w:tcW w:w="3426" w:type="dxa"/>
            <w:vAlign w:val="bottom"/>
          </w:tcPr>
          <w:p w:rsidR="00705804" w:rsidRDefault="00705804" w:rsidP="00117D84">
            <w:pPr>
              <w:widowControl w:val="0"/>
              <w:autoSpaceDE w:val="0"/>
              <w:autoSpaceDN w:val="0"/>
              <w:adjustRightInd w:val="0"/>
            </w:pPr>
            <w:r>
              <w:t>General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Audit of Assureds' Rec.</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General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Salaries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ind w:left="291" w:hanging="291"/>
            </w:pPr>
            <w:r>
              <w:t>See Spec. Instructions Relating to Allocation of Salaries &amp; Other Expenses (Subpart E)</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Employee Relations &amp;</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ind w:firstLine="348"/>
            </w:pPr>
            <w:r>
              <w:t>Welfare</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Overhead on Salaries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Pensions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Overhead on Salaries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Directors' Fees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Overhead on Salaries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Travel and Entertain.</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Spec. Studies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Rent and Rent Items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Overhead on Salaries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Equipment</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Overhead on Salaries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Printing &amp; Stationery</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Overhead on Salaries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ind w:left="348" w:hanging="348"/>
            </w:pPr>
          </w:p>
        </w:tc>
        <w:tc>
          <w:tcPr>
            <w:tcW w:w="1197" w:type="dxa"/>
          </w:tcPr>
          <w:p w:rsidR="00705804" w:rsidRDefault="00705804" w:rsidP="00117D84">
            <w:pPr>
              <w:widowControl w:val="0"/>
              <w:autoSpaceDE w:val="0"/>
              <w:autoSpaceDN w:val="0"/>
              <w:adjustRightInd w:val="0"/>
            </w:pPr>
          </w:p>
        </w:tc>
        <w:tc>
          <w:tcPr>
            <w:tcW w:w="3426" w:type="dxa"/>
            <w:vAlign w:val="bottom"/>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ind w:left="348" w:hanging="348"/>
            </w:pPr>
            <w:r>
              <w:t>Postage, Telephone &amp; Telegraph, Exchange and Express</w:t>
            </w:r>
          </w:p>
        </w:tc>
        <w:tc>
          <w:tcPr>
            <w:tcW w:w="1197" w:type="dxa"/>
          </w:tcPr>
          <w:p w:rsidR="00705804" w:rsidRDefault="00705804" w:rsidP="00117D84">
            <w:pPr>
              <w:widowControl w:val="0"/>
              <w:autoSpaceDE w:val="0"/>
              <w:autoSpaceDN w:val="0"/>
              <w:adjustRightInd w:val="0"/>
            </w:pPr>
          </w:p>
        </w:tc>
        <w:tc>
          <w:tcPr>
            <w:tcW w:w="3426" w:type="dxa"/>
            <w:vAlign w:val="bottom"/>
          </w:tcPr>
          <w:p w:rsidR="00705804" w:rsidRDefault="00705804" w:rsidP="00117D84">
            <w:pPr>
              <w:widowControl w:val="0"/>
              <w:autoSpaceDE w:val="0"/>
              <w:autoSpaceDN w:val="0"/>
              <w:adjustRightInd w:val="0"/>
            </w:pPr>
            <w:r>
              <w:t>Overhead on Salaries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Legal &amp; Auditing</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Special Studies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Taxes, Licenses &amp; Fees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Taxes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Real Estate Expenses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Investment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Real Estate Taxes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Investment Expenses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 xml:space="preserve">Income from Spec. </w:t>
            </w:r>
            <w:proofErr w:type="spellStart"/>
            <w:r>
              <w:t>Serv</w:t>
            </w:r>
            <w:proofErr w:type="spellEnd"/>
            <w:r>
              <w:t>.</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Special Studies</w:t>
            </w: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p>
        </w:tc>
      </w:tr>
      <w:tr w:rsidR="00705804">
        <w:tblPrEx>
          <w:tblCellMar>
            <w:top w:w="0" w:type="dxa"/>
            <w:bottom w:w="0" w:type="dxa"/>
          </w:tblCellMar>
        </w:tblPrEx>
        <w:tc>
          <w:tcPr>
            <w:tcW w:w="3363" w:type="dxa"/>
          </w:tcPr>
          <w:p w:rsidR="00705804" w:rsidRDefault="00705804" w:rsidP="00117D84">
            <w:pPr>
              <w:widowControl w:val="0"/>
              <w:autoSpaceDE w:val="0"/>
              <w:autoSpaceDN w:val="0"/>
              <w:adjustRightInd w:val="0"/>
            </w:pPr>
            <w:r>
              <w:t>Miscellaneous</w:t>
            </w:r>
          </w:p>
        </w:tc>
        <w:tc>
          <w:tcPr>
            <w:tcW w:w="1197" w:type="dxa"/>
          </w:tcPr>
          <w:p w:rsidR="00705804" w:rsidRDefault="00705804" w:rsidP="00117D84">
            <w:pPr>
              <w:widowControl w:val="0"/>
              <w:autoSpaceDE w:val="0"/>
              <w:autoSpaceDN w:val="0"/>
              <w:adjustRightInd w:val="0"/>
            </w:pPr>
          </w:p>
        </w:tc>
        <w:tc>
          <w:tcPr>
            <w:tcW w:w="3426" w:type="dxa"/>
          </w:tcPr>
          <w:p w:rsidR="00705804" w:rsidRDefault="00705804" w:rsidP="00117D84">
            <w:pPr>
              <w:widowControl w:val="0"/>
              <w:autoSpaceDE w:val="0"/>
              <w:autoSpaceDN w:val="0"/>
              <w:adjustRightInd w:val="0"/>
            </w:pPr>
            <w:r>
              <w:t>Special Studies</w:t>
            </w:r>
          </w:p>
        </w:tc>
      </w:tr>
    </w:tbl>
    <w:p w:rsidR="00705804" w:rsidRDefault="00705804" w:rsidP="00B17ED6">
      <w:pPr>
        <w:widowControl w:val="0"/>
        <w:autoSpaceDE w:val="0"/>
        <w:autoSpaceDN w:val="0"/>
        <w:adjustRightInd w:val="0"/>
      </w:pPr>
    </w:p>
    <w:p w:rsidR="00B17ED6" w:rsidRDefault="00B17ED6" w:rsidP="00B17ED6">
      <w:pPr>
        <w:widowControl w:val="0"/>
        <w:autoSpaceDE w:val="0"/>
        <w:autoSpaceDN w:val="0"/>
        <w:adjustRightInd w:val="0"/>
        <w:ind w:left="1440" w:hanging="720"/>
      </w:pPr>
      <w:r>
        <w:t>b)</w:t>
      </w:r>
      <w:r>
        <w:tab/>
        <w:t xml:space="preserve">Definitions </w:t>
      </w:r>
    </w:p>
    <w:p w:rsidR="00B17ED6" w:rsidRDefault="00B17ED6" w:rsidP="00B17ED6">
      <w:pPr>
        <w:widowControl w:val="0"/>
        <w:autoSpaceDE w:val="0"/>
        <w:autoSpaceDN w:val="0"/>
        <w:adjustRightInd w:val="0"/>
        <w:ind w:left="1440" w:hanging="720"/>
      </w:pPr>
      <w:r>
        <w:tab/>
        <w:t xml:space="preserve">For definition of the terms Overhead on Salaries &amp; Special Studies, See Subpart B, Section 903.310(b). </w:t>
      </w:r>
    </w:p>
    <w:p w:rsidR="00C316A0" w:rsidRDefault="00C316A0" w:rsidP="00B17ED6">
      <w:pPr>
        <w:widowControl w:val="0"/>
        <w:autoSpaceDE w:val="0"/>
        <w:autoSpaceDN w:val="0"/>
        <w:adjustRightInd w:val="0"/>
        <w:ind w:left="1440" w:hanging="720"/>
      </w:pPr>
    </w:p>
    <w:p w:rsidR="00B17ED6" w:rsidRDefault="00B17ED6" w:rsidP="00B17ED6">
      <w:pPr>
        <w:widowControl w:val="0"/>
        <w:autoSpaceDE w:val="0"/>
        <w:autoSpaceDN w:val="0"/>
        <w:adjustRightInd w:val="0"/>
        <w:ind w:left="1440" w:hanging="720"/>
      </w:pPr>
      <w:r>
        <w:t>c)</w:t>
      </w:r>
      <w:r>
        <w:tab/>
        <w:t xml:space="preserve">Other Bases Permitted Or Prescribed </w:t>
      </w:r>
    </w:p>
    <w:p w:rsidR="00B17ED6" w:rsidRDefault="00B17ED6" w:rsidP="00B17ED6">
      <w:pPr>
        <w:widowControl w:val="0"/>
        <w:autoSpaceDE w:val="0"/>
        <w:autoSpaceDN w:val="0"/>
        <w:adjustRightInd w:val="0"/>
        <w:ind w:left="1440" w:hanging="720"/>
      </w:pPr>
      <w:r>
        <w:tab/>
        <w:t xml:space="preserve">For those operating expense classifications permitting the basis Overhead on Salaries, any other basis of allocation may be adopted which yields more accurate results.  The basis Overhead on Salaries shall not be used if clearly inappropriate. </w:t>
      </w:r>
    </w:p>
    <w:p w:rsidR="00C316A0" w:rsidRDefault="00C316A0" w:rsidP="00B17ED6">
      <w:pPr>
        <w:widowControl w:val="0"/>
        <w:autoSpaceDE w:val="0"/>
        <w:autoSpaceDN w:val="0"/>
        <w:adjustRightInd w:val="0"/>
        <w:ind w:left="1440" w:hanging="720"/>
      </w:pPr>
    </w:p>
    <w:p w:rsidR="00B17ED6" w:rsidRDefault="00B17ED6" w:rsidP="00B17ED6">
      <w:pPr>
        <w:widowControl w:val="0"/>
        <w:autoSpaceDE w:val="0"/>
        <w:autoSpaceDN w:val="0"/>
        <w:adjustRightInd w:val="0"/>
        <w:ind w:left="1440" w:hanging="720"/>
      </w:pPr>
      <w:r>
        <w:t>d)</w:t>
      </w:r>
      <w:r>
        <w:tab/>
        <w:t xml:space="preserve">Other Instructions Applicable </w:t>
      </w:r>
    </w:p>
    <w:p w:rsidR="00B17ED6" w:rsidRDefault="00B17ED6" w:rsidP="00B17ED6">
      <w:pPr>
        <w:widowControl w:val="0"/>
        <w:autoSpaceDE w:val="0"/>
        <w:autoSpaceDN w:val="0"/>
        <w:adjustRightInd w:val="0"/>
        <w:ind w:left="1440" w:hanging="720"/>
      </w:pPr>
      <w:r>
        <w:tab/>
        <w:t xml:space="preserve">In making any allocations to expense groups, companies shall observe the General Instructions Regarding Allocation Bases (see Subpart E, Section 903.620). </w:t>
      </w:r>
    </w:p>
    <w:p w:rsidR="00C316A0" w:rsidRDefault="00C316A0" w:rsidP="00B17ED6">
      <w:pPr>
        <w:widowControl w:val="0"/>
        <w:autoSpaceDE w:val="0"/>
        <w:autoSpaceDN w:val="0"/>
        <w:adjustRightInd w:val="0"/>
        <w:ind w:left="1440" w:hanging="720"/>
      </w:pPr>
    </w:p>
    <w:p w:rsidR="00B17ED6" w:rsidRDefault="00B17ED6" w:rsidP="00B17ED6">
      <w:pPr>
        <w:widowControl w:val="0"/>
        <w:autoSpaceDE w:val="0"/>
        <w:autoSpaceDN w:val="0"/>
        <w:adjustRightInd w:val="0"/>
        <w:ind w:left="1440" w:hanging="720"/>
      </w:pPr>
      <w:r>
        <w:t>e)</w:t>
      </w:r>
      <w:r>
        <w:tab/>
        <w:t xml:space="preserve">Records Required </w:t>
      </w:r>
    </w:p>
    <w:p w:rsidR="00B17ED6" w:rsidRDefault="00B17ED6" w:rsidP="00B17ED6">
      <w:pPr>
        <w:widowControl w:val="0"/>
        <w:autoSpaceDE w:val="0"/>
        <w:autoSpaceDN w:val="0"/>
        <w:adjustRightInd w:val="0"/>
        <w:ind w:left="1440" w:hanging="720"/>
      </w:pPr>
      <w:r>
        <w:tab/>
        <w:t xml:space="preserve">The methods followed in allocating to expense groups shall be described, kept and supported as set forth under Detail of Allocation Bases (see Subpart E, Section 903.630(g)). </w:t>
      </w:r>
    </w:p>
    <w:p w:rsidR="00C316A0" w:rsidRDefault="00C316A0" w:rsidP="00B17ED6">
      <w:pPr>
        <w:widowControl w:val="0"/>
        <w:autoSpaceDE w:val="0"/>
        <w:autoSpaceDN w:val="0"/>
        <w:adjustRightInd w:val="0"/>
        <w:ind w:left="1440" w:hanging="720"/>
      </w:pPr>
    </w:p>
    <w:p w:rsidR="00B17ED6" w:rsidRDefault="00B17ED6" w:rsidP="00B17ED6">
      <w:pPr>
        <w:widowControl w:val="0"/>
        <w:autoSpaceDE w:val="0"/>
        <w:autoSpaceDN w:val="0"/>
        <w:adjustRightInd w:val="0"/>
        <w:ind w:left="1440" w:hanging="720"/>
      </w:pPr>
      <w:r>
        <w:tab/>
        <w:t xml:space="preserve">The effects of the application to each operating expense classification of all bases of allocation shall be shown on records kept in clear and legible form.  Such records shall be readily available for examination. </w:t>
      </w:r>
    </w:p>
    <w:sectPr w:rsidR="00B17ED6" w:rsidSect="00B17E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ED6"/>
    <w:rsid w:val="00117D84"/>
    <w:rsid w:val="005C3366"/>
    <w:rsid w:val="00662C3A"/>
    <w:rsid w:val="00705804"/>
    <w:rsid w:val="00742066"/>
    <w:rsid w:val="00997CE8"/>
    <w:rsid w:val="00B17ED6"/>
    <w:rsid w:val="00C316A0"/>
    <w:rsid w:val="00DD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903</vt:lpstr>
    </vt:vector>
  </TitlesOfParts>
  <Company>state of illinois</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903</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