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F1" w:rsidRDefault="008450F1" w:rsidP="008450F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m:  CREDIT LIFE AND CREDIT ACCIDENT INSURANCE</w:t>
      </w:r>
    </w:p>
    <w:sectPr w:rsidR="008450F1" w:rsidSect="008450F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50F1"/>
    <w:rsid w:val="00566FEB"/>
    <w:rsid w:val="005C3366"/>
    <w:rsid w:val="007A4D64"/>
    <w:rsid w:val="008450F1"/>
    <w:rsid w:val="00B3358B"/>
    <w:rsid w:val="00E732FB"/>
    <w:rsid w:val="00F6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B18A40-B56D-4606-9AD8-767620FD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m:  CREDIT LIFE AND CREDIT ACCIDENT INSURANCE</vt:lpstr>
    </vt:vector>
  </TitlesOfParts>
  <Company>state of illinois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m:  CREDIT LIFE AND CREDIT ACCIDENT INSURANCE</dc:title>
  <dc:subject/>
  <dc:creator>Illinois General Assembly</dc:creator>
  <cp:keywords/>
  <dc:description/>
  <cp:lastModifiedBy>Lane, Arlene L.</cp:lastModifiedBy>
  <cp:revision>5</cp:revision>
  <dcterms:created xsi:type="dcterms:W3CDTF">2012-06-21T18:29:00Z</dcterms:created>
  <dcterms:modified xsi:type="dcterms:W3CDTF">2018-01-04T19:42:00Z</dcterms:modified>
</cp:coreProperties>
</file>