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DFF" w:rsidRDefault="00B35B63" w:rsidP="00763DFF">
      <w:pPr>
        <w:widowControl w:val="0"/>
        <w:autoSpaceDE w:val="0"/>
        <w:autoSpaceDN w:val="0"/>
        <w:adjustRightInd w:val="0"/>
      </w:pPr>
      <w:bookmarkStart w:id="0" w:name="_GoBack"/>
      <w:bookmarkEnd w:id="0"/>
      <w:r>
        <w:br w:type="page"/>
      </w:r>
      <w:r w:rsidR="00763DFF">
        <w:rPr>
          <w:b/>
          <w:bCs/>
        </w:rPr>
        <w:lastRenderedPageBreak/>
        <w:t xml:space="preserve">Section 1103.EXHIBIT A </w:t>
      </w:r>
      <w:r w:rsidR="00EA4FC5">
        <w:rPr>
          <w:b/>
          <w:bCs/>
        </w:rPr>
        <w:t xml:space="preserve"> </w:t>
      </w:r>
      <w:r w:rsidR="00763DFF">
        <w:rPr>
          <w:b/>
          <w:bCs/>
        </w:rPr>
        <w:t xml:space="preserve"> Risk Category</w:t>
      </w:r>
      <w:r w:rsidR="00763DFF">
        <w:t xml:space="preserve"> </w:t>
      </w:r>
    </w:p>
    <w:p w:rsidR="00763DFF" w:rsidRDefault="00763DFF" w:rsidP="00763DFF">
      <w:pPr>
        <w:widowControl w:val="0"/>
        <w:autoSpaceDE w:val="0"/>
        <w:autoSpaceDN w:val="0"/>
        <w:adjustRightInd w:val="0"/>
      </w:pPr>
    </w:p>
    <w:p w:rsidR="00763DFF" w:rsidRDefault="00763DFF" w:rsidP="00EA4FC5">
      <w:pPr>
        <w:widowControl w:val="0"/>
        <w:autoSpaceDE w:val="0"/>
        <w:autoSpaceDN w:val="0"/>
        <w:adjustRightInd w:val="0"/>
        <w:ind w:left="741" w:hanging="720"/>
      </w:pPr>
      <w:r>
        <w:t xml:space="preserve">Risk Categories: </w:t>
      </w:r>
    </w:p>
    <w:p w:rsidR="00960F8F" w:rsidRDefault="00960F8F" w:rsidP="00763DFF">
      <w:pPr>
        <w:widowControl w:val="0"/>
        <w:autoSpaceDE w:val="0"/>
        <w:autoSpaceDN w:val="0"/>
        <w:adjustRightInd w:val="0"/>
        <w:ind w:left="1440" w:hanging="720"/>
      </w:pPr>
    </w:p>
    <w:p w:rsidR="00763DFF" w:rsidRDefault="00763DFF" w:rsidP="00763DFF">
      <w:pPr>
        <w:widowControl w:val="0"/>
        <w:autoSpaceDE w:val="0"/>
        <w:autoSpaceDN w:val="0"/>
        <w:adjustRightInd w:val="0"/>
        <w:ind w:left="1440" w:hanging="720"/>
      </w:pPr>
      <w:r>
        <w:t>a)</w:t>
      </w:r>
      <w:r>
        <w:tab/>
        <w:t xml:space="preserve">Morbidity </w:t>
      </w:r>
    </w:p>
    <w:p w:rsidR="00960F8F" w:rsidRDefault="00960F8F" w:rsidP="00763DFF">
      <w:pPr>
        <w:widowControl w:val="0"/>
        <w:autoSpaceDE w:val="0"/>
        <w:autoSpaceDN w:val="0"/>
        <w:adjustRightInd w:val="0"/>
        <w:ind w:left="1440" w:hanging="720"/>
      </w:pPr>
    </w:p>
    <w:p w:rsidR="00763DFF" w:rsidRDefault="00763DFF" w:rsidP="00763DFF">
      <w:pPr>
        <w:widowControl w:val="0"/>
        <w:autoSpaceDE w:val="0"/>
        <w:autoSpaceDN w:val="0"/>
        <w:adjustRightInd w:val="0"/>
        <w:ind w:left="1440" w:hanging="720"/>
      </w:pPr>
      <w:r>
        <w:t>b)</w:t>
      </w:r>
      <w:r>
        <w:tab/>
        <w:t xml:space="preserve">Mortality </w:t>
      </w:r>
    </w:p>
    <w:p w:rsidR="00960F8F" w:rsidRDefault="00960F8F" w:rsidP="00763DFF">
      <w:pPr>
        <w:widowControl w:val="0"/>
        <w:autoSpaceDE w:val="0"/>
        <w:autoSpaceDN w:val="0"/>
        <w:adjustRightInd w:val="0"/>
        <w:ind w:left="1440" w:hanging="720"/>
      </w:pPr>
    </w:p>
    <w:p w:rsidR="00763DFF" w:rsidRDefault="00763DFF" w:rsidP="00763DFF">
      <w:pPr>
        <w:widowControl w:val="0"/>
        <w:autoSpaceDE w:val="0"/>
        <w:autoSpaceDN w:val="0"/>
        <w:adjustRightInd w:val="0"/>
        <w:ind w:left="1440" w:hanging="720"/>
      </w:pPr>
      <w:r>
        <w:t>c)</w:t>
      </w:r>
      <w:r>
        <w:tab/>
        <w:t xml:space="preserve">Lapse </w:t>
      </w:r>
    </w:p>
    <w:p w:rsidR="00763DFF" w:rsidRDefault="00763DFF" w:rsidP="00246960">
      <w:pPr>
        <w:widowControl w:val="0"/>
        <w:autoSpaceDE w:val="0"/>
        <w:autoSpaceDN w:val="0"/>
        <w:adjustRightInd w:val="0"/>
        <w:ind w:left="1440"/>
      </w:pPr>
      <w:r>
        <w:t xml:space="preserve">This is the risk that a policy will voluntarily terminate prior to the recoupment of a statutory surplus strain experienced at issue of the policy. </w:t>
      </w:r>
    </w:p>
    <w:p w:rsidR="006574AD" w:rsidRDefault="006574AD" w:rsidP="00246960">
      <w:pPr>
        <w:widowControl w:val="0"/>
        <w:autoSpaceDE w:val="0"/>
        <w:autoSpaceDN w:val="0"/>
        <w:adjustRightInd w:val="0"/>
        <w:ind w:left="1440"/>
      </w:pPr>
    </w:p>
    <w:p w:rsidR="00763DFF" w:rsidRDefault="00763DFF" w:rsidP="00763DFF">
      <w:pPr>
        <w:widowControl w:val="0"/>
        <w:autoSpaceDE w:val="0"/>
        <w:autoSpaceDN w:val="0"/>
        <w:adjustRightInd w:val="0"/>
        <w:ind w:left="1440" w:hanging="720"/>
      </w:pPr>
      <w:r>
        <w:t>d)</w:t>
      </w:r>
      <w:r>
        <w:tab/>
        <w:t xml:space="preserve">Credit Quality (C1) </w:t>
      </w:r>
    </w:p>
    <w:p w:rsidR="00763DFF" w:rsidRDefault="00763DFF" w:rsidP="00246960">
      <w:pPr>
        <w:widowControl w:val="0"/>
        <w:autoSpaceDE w:val="0"/>
        <w:autoSpaceDN w:val="0"/>
        <w:adjustRightInd w:val="0"/>
        <w:ind w:left="1440"/>
      </w:pPr>
      <w:r>
        <w:t xml:space="preserve">This is the risk that invested assets supporting the reinsured business will decrease in value.  The main hazards are that assets will default or that there will be a decrease in earning power.  It excludes market value declines due to changes in interest rate. </w:t>
      </w:r>
    </w:p>
    <w:p w:rsidR="006574AD" w:rsidRDefault="006574AD" w:rsidP="00246960">
      <w:pPr>
        <w:widowControl w:val="0"/>
        <w:autoSpaceDE w:val="0"/>
        <w:autoSpaceDN w:val="0"/>
        <w:adjustRightInd w:val="0"/>
        <w:ind w:left="1440"/>
      </w:pPr>
    </w:p>
    <w:p w:rsidR="00763DFF" w:rsidRDefault="00763DFF" w:rsidP="00763DFF">
      <w:pPr>
        <w:widowControl w:val="0"/>
        <w:autoSpaceDE w:val="0"/>
        <w:autoSpaceDN w:val="0"/>
        <w:adjustRightInd w:val="0"/>
        <w:ind w:left="1440" w:hanging="720"/>
      </w:pPr>
      <w:r>
        <w:t>e)</w:t>
      </w:r>
      <w:r>
        <w:tab/>
        <w:t xml:space="preserve">Reinvestment (C3) </w:t>
      </w:r>
    </w:p>
    <w:p w:rsidR="00763DFF" w:rsidRDefault="00763DFF" w:rsidP="00246960">
      <w:pPr>
        <w:widowControl w:val="0"/>
        <w:autoSpaceDE w:val="0"/>
        <w:autoSpaceDN w:val="0"/>
        <w:adjustRightInd w:val="0"/>
        <w:ind w:left="1440"/>
      </w:pPr>
      <w:r>
        <w:t>This is the risk that interest rates will fall and funds reinvested (coupon payments or monies received upon asset maturity or call) will</w:t>
      </w:r>
      <w:r w:rsidR="00B35B63">
        <w:t>,</w:t>
      </w:r>
      <w:r>
        <w:t xml:space="preserve"> therefore</w:t>
      </w:r>
      <w:r w:rsidR="00B35B63">
        <w:t>,</w:t>
      </w:r>
      <w:r>
        <w:t xml:space="preserve"> earn less than expected.  If asset durations are less than liability durations, the mismatch will increase. </w:t>
      </w:r>
    </w:p>
    <w:p w:rsidR="006574AD" w:rsidRDefault="006574AD" w:rsidP="00246960">
      <w:pPr>
        <w:widowControl w:val="0"/>
        <w:autoSpaceDE w:val="0"/>
        <w:autoSpaceDN w:val="0"/>
        <w:adjustRightInd w:val="0"/>
        <w:ind w:left="1440"/>
      </w:pPr>
    </w:p>
    <w:p w:rsidR="00763DFF" w:rsidRDefault="00763DFF" w:rsidP="00763DFF">
      <w:pPr>
        <w:widowControl w:val="0"/>
        <w:autoSpaceDE w:val="0"/>
        <w:autoSpaceDN w:val="0"/>
        <w:adjustRightInd w:val="0"/>
        <w:ind w:left="1440" w:hanging="720"/>
      </w:pPr>
      <w:r>
        <w:t>f)</w:t>
      </w:r>
      <w:r>
        <w:tab/>
        <w:t xml:space="preserve">Disintermediation (C3) </w:t>
      </w:r>
    </w:p>
    <w:p w:rsidR="00763DFF" w:rsidRDefault="00763DFF" w:rsidP="00246960">
      <w:pPr>
        <w:widowControl w:val="0"/>
        <w:autoSpaceDE w:val="0"/>
        <w:autoSpaceDN w:val="0"/>
        <w:adjustRightInd w:val="0"/>
        <w:ind w:left="1440"/>
      </w:pPr>
      <w:r>
        <w:t xml:space="preserve">This is the risk that interest rates rise and policy loans and surrenders increase or maturing contracts do not renew at anticipated rates of renewal.  If asset durations are greater than the liability durations, the mismatch will increase.  Policyholders will move their funds into new products offering higher rates.  The company may have to sell assets at a loss to provide for these withdrawals. </w:t>
      </w:r>
    </w:p>
    <w:p w:rsidR="00763DFF" w:rsidRDefault="00763DFF" w:rsidP="00FB3FB0">
      <w:pPr>
        <w:widowControl w:val="0"/>
        <w:autoSpaceDE w:val="0"/>
        <w:autoSpaceDN w:val="0"/>
        <w:adjustRightInd w:val="0"/>
      </w:pPr>
    </w:p>
    <w:tbl>
      <w:tblPr>
        <w:tblW w:w="0" w:type="auto"/>
        <w:tblInd w:w="783" w:type="dxa"/>
        <w:tblLook w:val="0000" w:firstRow="0" w:lastRow="0" w:firstColumn="0" w:lastColumn="0" w:noHBand="0" w:noVBand="0"/>
      </w:tblPr>
      <w:tblGrid>
        <w:gridCol w:w="727"/>
        <w:gridCol w:w="289"/>
        <w:gridCol w:w="4975"/>
        <w:gridCol w:w="476"/>
        <w:gridCol w:w="467"/>
        <w:gridCol w:w="467"/>
        <w:gridCol w:w="476"/>
        <w:gridCol w:w="476"/>
        <w:gridCol w:w="440"/>
      </w:tblGrid>
      <w:tr w:rsidR="00FB3FB0">
        <w:tblPrEx>
          <w:tblCellMar>
            <w:top w:w="0" w:type="dxa"/>
            <w:bottom w:w="0" w:type="dxa"/>
          </w:tblCellMar>
        </w:tblPrEx>
        <w:tc>
          <w:tcPr>
            <w:tcW w:w="5991" w:type="dxa"/>
            <w:gridSpan w:val="3"/>
            <w:tcBorders>
              <w:bottom w:val="single" w:sz="4" w:space="0" w:color="auto"/>
            </w:tcBorders>
          </w:tcPr>
          <w:p w:rsidR="00FB3FB0" w:rsidRDefault="00FB3FB0" w:rsidP="00F94B9E">
            <w:pPr>
              <w:widowControl w:val="0"/>
              <w:autoSpaceDE w:val="0"/>
              <w:autoSpaceDN w:val="0"/>
              <w:adjustRightInd w:val="0"/>
              <w:ind w:left="-63"/>
            </w:pPr>
            <w:r>
              <w:t>Risk Category</w:t>
            </w:r>
          </w:p>
        </w:tc>
        <w:tc>
          <w:tcPr>
            <w:tcW w:w="476" w:type="dxa"/>
            <w:tcBorders>
              <w:bottom w:val="single" w:sz="4" w:space="0" w:color="auto"/>
            </w:tcBorders>
          </w:tcPr>
          <w:p w:rsidR="00FB3FB0" w:rsidRDefault="00FB3FB0" w:rsidP="00F94B9E">
            <w:pPr>
              <w:widowControl w:val="0"/>
              <w:autoSpaceDE w:val="0"/>
              <w:autoSpaceDN w:val="0"/>
              <w:adjustRightInd w:val="0"/>
              <w:jc w:val="center"/>
            </w:pPr>
            <w:r>
              <w:t>a</w:t>
            </w:r>
          </w:p>
        </w:tc>
        <w:tc>
          <w:tcPr>
            <w:tcW w:w="467" w:type="dxa"/>
            <w:tcBorders>
              <w:bottom w:val="single" w:sz="4" w:space="0" w:color="auto"/>
            </w:tcBorders>
          </w:tcPr>
          <w:p w:rsidR="00FB3FB0" w:rsidRDefault="00FB3FB0" w:rsidP="00F94B9E">
            <w:pPr>
              <w:widowControl w:val="0"/>
              <w:autoSpaceDE w:val="0"/>
              <w:autoSpaceDN w:val="0"/>
              <w:adjustRightInd w:val="0"/>
              <w:jc w:val="center"/>
            </w:pPr>
            <w:r>
              <w:t>b</w:t>
            </w:r>
          </w:p>
        </w:tc>
        <w:tc>
          <w:tcPr>
            <w:tcW w:w="467" w:type="dxa"/>
            <w:tcBorders>
              <w:bottom w:val="single" w:sz="4" w:space="0" w:color="auto"/>
            </w:tcBorders>
          </w:tcPr>
          <w:p w:rsidR="00FB3FB0" w:rsidRDefault="00FB3FB0" w:rsidP="00F94B9E">
            <w:pPr>
              <w:widowControl w:val="0"/>
              <w:autoSpaceDE w:val="0"/>
              <w:autoSpaceDN w:val="0"/>
              <w:adjustRightInd w:val="0"/>
              <w:jc w:val="center"/>
            </w:pPr>
            <w:r>
              <w:t>c</w:t>
            </w:r>
          </w:p>
        </w:tc>
        <w:tc>
          <w:tcPr>
            <w:tcW w:w="476" w:type="dxa"/>
            <w:tcBorders>
              <w:bottom w:val="single" w:sz="4" w:space="0" w:color="auto"/>
            </w:tcBorders>
          </w:tcPr>
          <w:p w:rsidR="00FB3FB0" w:rsidRDefault="00FB3FB0" w:rsidP="00F94B9E">
            <w:pPr>
              <w:widowControl w:val="0"/>
              <w:autoSpaceDE w:val="0"/>
              <w:autoSpaceDN w:val="0"/>
              <w:adjustRightInd w:val="0"/>
              <w:jc w:val="center"/>
            </w:pPr>
            <w:r>
              <w:t>d</w:t>
            </w:r>
          </w:p>
        </w:tc>
        <w:tc>
          <w:tcPr>
            <w:tcW w:w="476" w:type="dxa"/>
            <w:tcBorders>
              <w:bottom w:val="single" w:sz="4" w:space="0" w:color="auto"/>
            </w:tcBorders>
          </w:tcPr>
          <w:p w:rsidR="00FB3FB0" w:rsidRDefault="00FB3FB0" w:rsidP="00F94B9E">
            <w:pPr>
              <w:widowControl w:val="0"/>
              <w:autoSpaceDE w:val="0"/>
              <w:autoSpaceDN w:val="0"/>
              <w:adjustRightInd w:val="0"/>
              <w:jc w:val="center"/>
            </w:pPr>
            <w:r>
              <w:t>e</w:t>
            </w:r>
          </w:p>
        </w:tc>
        <w:tc>
          <w:tcPr>
            <w:tcW w:w="440" w:type="dxa"/>
            <w:tcBorders>
              <w:bottom w:val="single" w:sz="4" w:space="0" w:color="auto"/>
            </w:tcBorders>
          </w:tcPr>
          <w:p w:rsidR="00FB3FB0" w:rsidRDefault="00FB3FB0" w:rsidP="00F94B9E">
            <w:pPr>
              <w:widowControl w:val="0"/>
              <w:autoSpaceDE w:val="0"/>
              <w:autoSpaceDN w:val="0"/>
              <w:adjustRightInd w:val="0"/>
              <w:jc w:val="center"/>
            </w:pPr>
            <w:r>
              <w:t>f</w:t>
            </w:r>
          </w:p>
        </w:tc>
      </w:tr>
      <w:tr w:rsidR="00FB3FB0">
        <w:tblPrEx>
          <w:tblCellMar>
            <w:top w:w="0" w:type="dxa"/>
            <w:bottom w:w="0" w:type="dxa"/>
          </w:tblCellMar>
        </w:tblPrEx>
        <w:trPr>
          <w:trHeight w:val="374"/>
        </w:trPr>
        <w:tc>
          <w:tcPr>
            <w:tcW w:w="5991" w:type="dxa"/>
            <w:gridSpan w:val="3"/>
            <w:tcBorders>
              <w:top w:val="single" w:sz="4" w:space="0" w:color="auto"/>
            </w:tcBorders>
            <w:vAlign w:val="bottom"/>
          </w:tcPr>
          <w:p w:rsidR="00FB3FB0" w:rsidRDefault="00FB3FB0" w:rsidP="00F94B9E">
            <w:pPr>
              <w:widowControl w:val="0"/>
              <w:autoSpaceDE w:val="0"/>
              <w:autoSpaceDN w:val="0"/>
              <w:adjustRightInd w:val="0"/>
              <w:ind w:left="-63"/>
            </w:pPr>
            <w:r>
              <w:t>Health Insurance – other than LTC/LTD</w:t>
            </w:r>
          </w:p>
        </w:tc>
        <w:tc>
          <w:tcPr>
            <w:tcW w:w="476" w:type="dxa"/>
            <w:tcBorders>
              <w:top w:val="single" w:sz="4" w:space="0" w:color="auto"/>
            </w:tcBorders>
            <w:vAlign w:val="bottom"/>
          </w:tcPr>
          <w:p w:rsidR="00FB3FB0" w:rsidRDefault="00FB3FB0" w:rsidP="00F94B9E">
            <w:pPr>
              <w:widowControl w:val="0"/>
              <w:autoSpaceDE w:val="0"/>
              <w:autoSpaceDN w:val="0"/>
              <w:adjustRightInd w:val="0"/>
              <w:jc w:val="center"/>
            </w:pPr>
            <w:r>
              <w:t>+</w:t>
            </w:r>
          </w:p>
        </w:tc>
        <w:tc>
          <w:tcPr>
            <w:tcW w:w="467" w:type="dxa"/>
            <w:tcBorders>
              <w:top w:val="single" w:sz="4" w:space="0" w:color="auto"/>
            </w:tcBorders>
            <w:vAlign w:val="bottom"/>
          </w:tcPr>
          <w:p w:rsidR="00FB3FB0" w:rsidRDefault="00FB3FB0" w:rsidP="00F94B9E">
            <w:pPr>
              <w:widowControl w:val="0"/>
              <w:autoSpaceDE w:val="0"/>
              <w:autoSpaceDN w:val="0"/>
              <w:adjustRightInd w:val="0"/>
              <w:jc w:val="center"/>
            </w:pPr>
            <w:r>
              <w:t>0</w:t>
            </w:r>
          </w:p>
        </w:tc>
        <w:tc>
          <w:tcPr>
            <w:tcW w:w="467" w:type="dxa"/>
            <w:tcBorders>
              <w:top w:val="single" w:sz="4" w:space="0" w:color="auto"/>
            </w:tcBorders>
            <w:vAlign w:val="bottom"/>
          </w:tcPr>
          <w:p w:rsidR="00FB3FB0" w:rsidRDefault="00FB3FB0" w:rsidP="00F94B9E">
            <w:pPr>
              <w:widowControl w:val="0"/>
              <w:autoSpaceDE w:val="0"/>
              <w:autoSpaceDN w:val="0"/>
              <w:adjustRightInd w:val="0"/>
              <w:jc w:val="center"/>
            </w:pPr>
            <w:r>
              <w:t>+</w:t>
            </w:r>
          </w:p>
        </w:tc>
        <w:tc>
          <w:tcPr>
            <w:tcW w:w="476" w:type="dxa"/>
            <w:tcBorders>
              <w:top w:val="single" w:sz="4" w:space="0" w:color="auto"/>
            </w:tcBorders>
            <w:vAlign w:val="bottom"/>
          </w:tcPr>
          <w:p w:rsidR="00FB3FB0" w:rsidRDefault="00FB3FB0" w:rsidP="00F94B9E">
            <w:pPr>
              <w:widowControl w:val="0"/>
              <w:autoSpaceDE w:val="0"/>
              <w:autoSpaceDN w:val="0"/>
              <w:adjustRightInd w:val="0"/>
              <w:jc w:val="center"/>
            </w:pPr>
            <w:r>
              <w:t>0</w:t>
            </w:r>
          </w:p>
        </w:tc>
        <w:tc>
          <w:tcPr>
            <w:tcW w:w="476" w:type="dxa"/>
            <w:tcBorders>
              <w:top w:val="single" w:sz="4" w:space="0" w:color="auto"/>
            </w:tcBorders>
            <w:vAlign w:val="bottom"/>
          </w:tcPr>
          <w:p w:rsidR="00FB3FB0" w:rsidRDefault="00FB3FB0" w:rsidP="00F94B9E">
            <w:pPr>
              <w:widowControl w:val="0"/>
              <w:autoSpaceDE w:val="0"/>
              <w:autoSpaceDN w:val="0"/>
              <w:adjustRightInd w:val="0"/>
              <w:jc w:val="center"/>
            </w:pPr>
            <w:r>
              <w:t>0</w:t>
            </w:r>
          </w:p>
        </w:tc>
        <w:tc>
          <w:tcPr>
            <w:tcW w:w="440" w:type="dxa"/>
            <w:tcBorders>
              <w:top w:val="single" w:sz="4" w:space="0" w:color="auto"/>
            </w:tcBorders>
            <w:vAlign w:val="bottom"/>
          </w:tcPr>
          <w:p w:rsidR="00FB3FB0" w:rsidRDefault="00FB3FB0" w:rsidP="00F94B9E">
            <w:pPr>
              <w:widowControl w:val="0"/>
              <w:autoSpaceDE w:val="0"/>
              <w:autoSpaceDN w:val="0"/>
              <w:adjustRightInd w:val="0"/>
              <w:jc w:val="center"/>
            </w:pPr>
            <w:r>
              <w:t>0</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Health Insurance – LTC/LTD</w:t>
            </w:r>
          </w:p>
        </w:tc>
        <w:tc>
          <w:tcPr>
            <w:tcW w:w="476"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0</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Immediate Annuities</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0</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0</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Single Premium Deferred Annuities</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Flexible Premium Deferred Annuities</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Guaranteed Interest Contracts</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0</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Other Annuity Deposit Business</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Single Premium Whole Life</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Traditional Non-Par Permanent</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Traditional Non-Par Term</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0</w:t>
            </w:r>
          </w:p>
        </w:tc>
        <w:tc>
          <w:tcPr>
            <w:tcW w:w="476" w:type="dxa"/>
            <w:vAlign w:val="bottom"/>
          </w:tcPr>
          <w:p w:rsidR="00FB3FB0" w:rsidRDefault="00FB3FB0" w:rsidP="00F94B9E">
            <w:pPr>
              <w:widowControl w:val="0"/>
              <w:autoSpaceDE w:val="0"/>
              <w:autoSpaceDN w:val="0"/>
              <w:adjustRightInd w:val="0"/>
              <w:jc w:val="center"/>
            </w:pPr>
            <w:r>
              <w:t>0</w:t>
            </w:r>
          </w:p>
        </w:tc>
        <w:tc>
          <w:tcPr>
            <w:tcW w:w="440" w:type="dxa"/>
            <w:vAlign w:val="bottom"/>
          </w:tcPr>
          <w:p w:rsidR="00FB3FB0" w:rsidRDefault="00FB3FB0" w:rsidP="00F94B9E">
            <w:pPr>
              <w:widowControl w:val="0"/>
              <w:autoSpaceDE w:val="0"/>
              <w:autoSpaceDN w:val="0"/>
              <w:adjustRightInd w:val="0"/>
              <w:jc w:val="center"/>
            </w:pPr>
            <w:r>
              <w:t>0</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Traditional Par Permanent</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lastRenderedPageBreak/>
              <w:t>Traditional Par Term</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0</w:t>
            </w:r>
          </w:p>
        </w:tc>
        <w:tc>
          <w:tcPr>
            <w:tcW w:w="476" w:type="dxa"/>
            <w:vAlign w:val="bottom"/>
          </w:tcPr>
          <w:p w:rsidR="00FB3FB0" w:rsidRDefault="00FB3FB0" w:rsidP="00F94B9E">
            <w:pPr>
              <w:widowControl w:val="0"/>
              <w:autoSpaceDE w:val="0"/>
              <w:autoSpaceDN w:val="0"/>
              <w:adjustRightInd w:val="0"/>
              <w:jc w:val="center"/>
            </w:pPr>
            <w:r>
              <w:t>0</w:t>
            </w:r>
          </w:p>
        </w:tc>
        <w:tc>
          <w:tcPr>
            <w:tcW w:w="440" w:type="dxa"/>
            <w:vAlign w:val="bottom"/>
          </w:tcPr>
          <w:p w:rsidR="00FB3FB0" w:rsidRDefault="00FB3FB0" w:rsidP="00F94B9E">
            <w:pPr>
              <w:widowControl w:val="0"/>
              <w:autoSpaceDE w:val="0"/>
              <w:autoSpaceDN w:val="0"/>
              <w:adjustRightInd w:val="0"/>
              <w:jc w:val="center"/>
            </w:pPr>
            <w:r>
              <w:t>0</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Adjustable Premium Permanent</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Indeterminate Premium Permanent</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 xml:space="preserve">Universal Life Flexible Premium </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402"/>
        </w:trPr>
        <w:tc>
          <w:tcPr>
            <w:tcW w:w="5991" w:type="dxa"/>
            <w:gridSpan w:val="3"/>
            <w:vAlign w:val="bottom"/>
          </w:tcPr>
          <w:p w:rsidR="00FB3FB0" w:rsidRDefault="00FB3FB0" w:rsidP="00F94B9E">
            <w:pPr>
              <w:widowControl w:val="0"/>
              <w:autoSpaceDE w:val="0"/>
              <w:autoSpaceDN w:val="0"/>
              <w:adjustRightInd w:val="0"/>
              <w:ind w:left="-63"/>
            </w:pPr>
            <w:r>
              <w:t>Universal Life Fixed Premium</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374"/>
        </w:trPr>
        <w:tc>
          <w:tcPr>
            <w:tcW w:w="5991" w:type="dxa"/>
            <w:gridSpan w:val="3"/>
            <w:vAlign w:val="bottom"/>
          </w:tcPr>
          <w:p w:rsidR="00FB3FB0" w:rsidRDefault="00FB3FB0" w:rsidP="00F94B9E">
            <w:pPr>
              <w:widowControl w:val="0"/>
              <w:autoSpaceDE w:val="0"/>
              <w:autoSpaceDN w:val="0"/>
              <w:adjustRightInd w:val="0"/>
              <w:ind w:left="-63"/>
            </w:pPr>
            <w:r>
              <w:t>Universal Life Fixed Premium</w:t>
            </w:r>
          </w:p>
        </w:tc>
        <w:tc>
          <w:tcPr>
            <w:tcW w:w="476" w:type="dxa"/>
            <w:vAlign w:val="bottom"/>
          </w:tcPr>
          <w:p w:rsidR="00FB3FB0" w:rsidRDefault="00FB3FB0" w:rsidP="00F94B9E">
            <w:pPr>
              <w:widowControl w:val="0"/>
              <w:autoSpaceDE w:val="0"/>
              <w:autoSpaceDN w:val="0"/>
              <w:adjustRightInd w:val="0"/>
              <w:jc w:val="center"/>
            </w:pPr>
            <w:r>
              <w:t>0</w:t>
            </w:r>
          </w:p>
        </w:tc>
        <w:tc>
          <w:tcPr>
            <w:tcW w:w="467" w:type="dxa"/>
            <w:vAlign w:val="bottom"/>
          </w:tcPr>
          <w:p w:rsidR="00FB3FB0" w:rsidRDefault="00FB3FB0" w:rsidP="00F94B9E">
            <w:pPr>
              <w:widowControl w:val="0"/>
              <w:autoSpaceDE w:val="0"/>
              <w:autoSpaceDN w:val="0"/>
              <w:adjustRightInd w:val="0"/>
              <w:jc w:val="center"/>
            </w:pPr>
            <w:r>
              <w:t>+</w:t>
            </w:r>
          </w:p>
        </w:tc>
        <w:tc>
          <w:tcPr>
            <w:tcW w:w="467"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76" w:type="dxa"/>
            <w:vAlign w:val="bottom"/>
          </w:tcPr>
          <w:p w:rsidR="00FB3FB0" w:rsidRDefault="00FB3FB0" w:rsidP="00F94B9E">
            <w:pPr>
              <w:widowControl w:val="0"/>
              <w:autoSpaceDE w:val="0"/>
              <w:autoSpaceDN w:val="0"/>
              <w:adjustRightInd w:val="0"/>
              <w:jc w:val="center"/>
            </w:pPr>
            <w:r>
              <w:t>+</w:t>
            </w:r>
          </w:p>
        </w:tc>
        <w:tc>
          <w:tcPr>
            <w:tcW w:w="440" w:type="dxa"/>
            <w:vAlign w:val="bottom"/>
          </w:tcPr>
          <w:p w:rsidR="00FB3FB0" w:rsidRDefault="00FB3FB0" w:rsidP="00F94B9E">
            <w:pPr>
              <w:widowControl w:val="0"/>
              <w:autoSpaceDE w:val="0"/>
              <w:autoSpaceDN w:val="0"/>
              <w:adjustRightInd w:val="0"/>
              <w:jc w:val="center"/>
            </w:pPr>
            <w:r>
              <w:t>+</w:t>
            </w:r>
          </w:p>
        </w:tc>
      </w:tr>
      <w:tr w:rsidR="00FB3FB0">
        <w:tblPrEx>
          <w:tblCellMar>
            <w:top w:w="0" w:type="dxa"/>
            <w:bottom w:w="0" w:type="dxa"/>
          </w:tblCellMar>
        </w:tblPrEx>
        <w:trPr>
          <w:trHeight w:val="558"/>
        </w:trPr>
        <w:tc>
          <w:tcPr>
            <w:tcW w:w="5991" w:type="dxa"/>
            <w:gridSpan w:val="3"/>
          </w:tcPr>
          <w:p w:rsidR="00FB3FB0" w:rsidRDefault="00FB3FB0" w:rsidP="00F94B9E">
            <w:pPr>
              <w:widowControl w:val="0"/>
              <w:autoSpaceDE w:val="0"/>
              <w:autoSpaceDN w:val="0"/>
              <w:adjustRightInd w:val="0"/>
              <w:ind w:left="-63"/>
            </w:pPr>
            <w:r>
              <w:t>dump-in premiums allowed</w:t>
            </w:r>
          </w:p>
        </w:tc>
        <w:tc>
          <w:tcPr>
            <w:tcW w:w="476" w:type="dxa"/>
            <w:vAlign w:val="bottom"/>
          </w:tcPr>
          <w:p w:rsidR="00FB3FB0" w:rsidRDefault="00FB3FB0" w:rsidP="00F94B9E">
            <w:pPr>
              <w:widowControl w:val="0"/>
              <w:autoSpaceDE w:val="0"/>
              <w:autoSpaceDN w:val="0"/>
              <w:adjustRightInd w:val="0"/>
              <w:jc w:val="center"/>
            </w:pPr>
          </w:p>
        </w:tc>
        <w:tc>
          <w:tcPr>
            <w:tcW w:w="467" w:type="dxa"/>
            <w:vAlign w:val="bottom"/>
          </w:tcPr>
          <w:p w:rsidR="00FB3FB0" w:rsidRDefault="00FB3FB0" w:rsidP="00F94B9E">
            <w:pPr>
              <w:widowControl w:val="0"/>
              <w:autoSpaceDE w:val="0"/>
              <w:autoSpaceDN w:val="0"/>
              <w:adjustRightInd w:val="0"/>
              <w:jc w:val="center"/>
            </w:pPr>
          </w:p>
        </w:tc>
        <w:tc>
          <w:tcPr>
            <w:tcW w:w="467" w:type="dxa"/>
            <w:vAlign w:val="bottom"/>
          </w:tcPr>
          <w:p w:rsidR="00FB3FB0" w:rsidRDefault="00FB3FB0" w:rsidP="00F94B9E">
            <w:pPr>
              <w:widowControl w:val="0"/>
              <w:autoSpaceDE w:val="0"/>
              <w:autoSpaceDN w:val="0"/>
              <w:adjustRightInd w:val="0"/>
              <w:jc w:val="center"/>
            </w:pPr>
          </w:p>
        </w:tc>
        <w:tc>
          <w:tcPr>
            <w:tcW w:w="476" w:type="dxa"/>
            <w:vAlign w:val="bottom"/>
          </w:tcPr>
          <w:p w:rsidR="00FB3FB0" w:rsidRDefault="00FB3FB0" w:rsidP="00F94B9E">
            <w:pPr>
              <w:widowControl w:val="0"/>
              <w:autoSpaceDE w:val="0"/>
              <w:autoSpaceDN w:val="0"/>
              <w:adjustRightInd w:val="0"/>
              <w:jc w:val="center"/>
            </w:pPr>
          </w:p>
        </w:tc>
        <w:tc>
          <w:tcPr>
            <w:tcW w:w="476" w:type="dxa"/>
            <w:vAlign w:val="bottom"/>
          </w:tcPr>
          <w:p w:rsidR="00FB3FB0" w:rsidRDefault="00FB3FB0" w:rsidP="00F94B9E">
            <w:pPr>
              <w:widowControl w:val="0"/>
              <w:autoSpaceDE w:val="0"/>
              <w:autoSpaceDN w:val="0"/>
              <w:adjustRightInd w:val="0"/>
              <w:jc w:val="center"/>
            </w:pPr>
          </w:p>
        </w:tc>
        <w:tc>
          <w:tcPr>
            <w:tcW w:w="440" w:type="dxa"/>
            <w:vAlign w:val="bottom"/>
          </w:tcPr>
          <w:p w:rsidR="00FB3FB0" w:rsidRDefault="00FB3FB0" w:rsidP="00F94B9E">
            <w:pPr>
              <w:widowControl w:val="0"/>
              <w:autoSpaceDE w:val="0"/>
              <w:autoSpaceDN w:val="0"/>
              <w:adjustRightInd w:val="0"/>
              <w:jc w:val="center"/>
            </w:pPr>
          </w:p>
        </w:tc>
      </w:tr>
      <w:tr w:rsidR="00EA4FC5">
        <w:tblPrEx>
          <w:tblCellMar>
            <w:top w:w="0" w:type="dxa"/>
            <w:bottom w:w="0" w:type="dxa"/>
          </w:tblCellMar>
        </w:tblPrEx>
        <w:trPr>
          <w:trHeight w:val="374"/>
        </w:trPr>
        <w:tc>
          <w:tcPr>
            <w:tcW w:w="727" w:type="dxa"/>
            <w:tcBorders>
              <w:top w:val="single" w:sz="4" w:space="0" w:color="auto"/>
            </w:tcBorders>
            <w:vAlign w:val="bottom"/>
          </w:tcPr>
          <w:p w:rsidR="00EA4FC5" w:rsidRDefault="00EA4FC5" w:rsidP="00EA4FC5">
            <w:pPr>
              <w:widowControl w:val="0"/>
              <w:autoSpaceDE w:val="0"/>
              <w:autoSpaceDN w:val="0"/>
              <w:adjustRightInd w:val="0"/>
              <w:ind w:left="-63"/>
              <w:jc w:val="right"/>
            </w:pPr>
            <w:r>
              <w:t>+</w:t>
            </w:r>
          </w:p>
        </w:tc>
        <w:tc>
          <w:tcPr>
            <w:tcW w:w="289" w:type="dxa"/>
            <w:tcBorders>
              <w:top w:val="single" w:sz="4" w:space="0" w:color="auto"/>
            </w:tcBorders>
            <w:vAlign w:val="bottom"/>
          </w:tcPr>
          <w:p w:rsidR="00EA4FC5" w:rsidRDefault="00EA4FC5" w:rsidP="00F94B9E">
            <w:pPr>
              <w:widowControl w:val="0"/>
              <w:autoSpaceDE w:val="0"/>
              <w:autoSpaceDN w:val="0"/>
              <w:adjustRightInd w:val="0"/>
              <w:ind w:left="-63"/>
            </w:pPr>
            <w:r>
              <w:t>=</w:t>
            </w:r>
          </w:p>
        </w:tc>
        <w:tc>
          <w:tcPr>
            <w:tcW w:w="4975" w:type="dxa"/>
            <w:vAlign w:val="bottom"/>
          </w:tcPr>
          <w:p w:rsidR="00EA4FC5" w:rsidRDefault="00EA4FC5" w:rsidP="00F94B9E">
            <w:pPr>
              <w:widowControl w:val="0"/>
              <w:autoSpaceDE w:val="0"/>
              <w:autoSpaceDN w:val="0"/>
              <w:adjustRightInd w:val="0"/>
              <w:ind w:left="-63"/>
            </w:pPr>
            <w:r>
              <w:t>Significant</w:t>
            </w:r>
          </w:p>
        </w:tc>
        <w:tc>
          <w:tcPr>
            <w:tcW w:w="476" w:type="dxa"/>
            <w:vAlign w:val="bottom"/>
          </w:tcPr>
          <w:p w:rsidR="00EA4FC5" w:rsidRDefault="00EA4FC5" w:rsidP="00F94B9E">
            <w:pPr>
              <w:widowControl w:val="0"/>
              <w:autoSpaceDE w:val="0"/>
              <w:autoSpaceDN w:val="0"/>
              <w:adjustRightInd w:val="0"/>
              <w:jc w:val="center"/>
            </w:pPr>
          </w:p>
        </w:tc>
        <w:tc>
          <w:tcPr>
            <w:tcW w:w="467" w:type="dxa"/>
            <w:vAlign w:val="bottom"/>
          </w:tcPr>
          <w:p w:rsidR="00EA4FC5" w:rsidRDefault="00EA4FC5" w:rsidP="00F94B9E">
            <w:pPr>
              <w:widowControl w:val="0"/>
              <w:autoSpaceDE w:val="0"/>
              <w:autoSpaceDN w:val="0"/>
              <w:adjustRightInd w:val="0"/>
              <w:jc w:val="center"/>
            </w:pPr>
          </w:p>
        </w:tc>
        <w:tc>
          <w:tcPr>
            <w:tcW w:w="467" w:type="dxa"/>
            <w:vAlign w:val="bottom"/>
          </w:tcPr>
          <w:p w:rsidR="00EA4FC5" w:rsidRDefault="00EA4FC5" w:rsidP="00F94B9E">
            <w:pPr>
              <w:widowControl w:val="0"/>
              <w:autoSpaceDE w:val="0"/>
              <w:autoSpaceDN w:val="0"/>
              <w:adjustRightInd w:val="0"/>
              <w:jc w:val="center"/>
            </w:pPr>
          </w:p>
        </w:tc>
        <w:tc>
          <w:tcPr>
            <w:tcW w:w="476" w:type="dxa"/>
            <w:vAlign w:val="bottom"/>
          </w:tcPr>
          <w:p w:rsidR="00EA4FC5" w:rsidRDefault="00EA4FC5" w:rsidP="00F94B9E">
            <w:pPr>
              <w:widowControl w:val="0"/>
              <w:autoSpaceDE w:val="0"/>
              <w:autoSpaceDN w:val="0"/>
              <w:adjustRightInd w:val="0"/>
              <w:jc w:val="center"/>
            </w:pPr>
          </w:p>
        </w:tc>
        <w:tc>
          <w:tcPr>
            <w:tcW w:w="476" w:type="dxa"/>
            <w:vAlign w:val="bottom"/>
          </w:tcPr>
          <w:p w:rsidR="00EA4FC5" w:rsidRDefault="00EA4FC5" w:rsidP="00F94B9E">
            <w:pPr>
              <w:widowControl w:val="0"/>
              <w:autoSpaceDE w:val="0"/>
              <w:autoSpaceDN w:val="0"/>
              <w:adjustRightInd w:val="0"/>
              <w:jc w:val="center"/>
            </w:pPr>
          </w:p>
        </w:tc>
        <w:tc>
          <w:tcPr>
            <w:tcW w:w="440" w:type="dxa"/>
            <w:vAlign w:val="bottom"/>
          </w:tcPr>
          <w:p w:rsidR="00EA4FC5" w:rsidRDefault="00EA4FC5" w:rsidP="00F94B9E">
            <w:pPr>
              <w:widowControl w:val="0"/>
              <w:autoSpaceDE w:val="0"/>
              <w:autoSpaceDN w:val="0"/>
              <w:adjustRightInd w:val="0"/>
              <w:jc w:val="center"/>
            </w:pPr>
          </w:p>
        </w:tc>
      </w:tr>
      <w:tr w:rsidR="00EA4FC5">
        <w:tblPrEx>
          <w:tblCellMar>
            <w:top w:w="0" w:type="dxa"/>
            <w:bottom w:w="0" w:type="dxa"/>
          </w:tblCellMar>
        </w:tblPrEx>
        <w:trPr>
          <w:trHeight w:val="374"/>
        </w:trPr>
        <w:tc>
          <w:tcPr>
            <w:tcW w:w="727" w:type="dxa"/>
            <w:vAlign w:val="bottom"/>
          </w:tcPr>
          <w:p w:rsidR="00EA4FC5" w:rsidRDefault="00EA4FC5" w:rsidP="00EA4FC5">
            <w:pPr>
              <w:widowControl w:val="0"/>
              <w:autoSpaceDE w:val="0"/>
              <w:autoSpaceDN w:val="0"/>
              <w:adjustRightInd w:val="0"/>
              <w:ind w:left="-63"/>
              <w:jc w:val="right"/>
            </w:pPr>
            <w:r>
              <w:t>0</w:t>
            </w:r>
          </w:p>
        </w:tc>
        <w:tc>
          <w:tcPr>
            <w:tcW w:w="289" w:type="dxa"/>
            <w:vAlign w:val="bottom"/>
          </w:tcPr>
          <w:p w:rsidR="00EA4FC5" w:rsidRDefault="00EA4FC5" w:rsidP="00F94B9E">
            <w:pPr>
              <w:widowControl w:val="0"/>
              <w:autoSpaceDE w:val="0"/>
              <w:autoSpaceDN w:val="0"/>
              <w:adjustRightInd w:val="0"/>
              <w:ind w:left="-63"/>
            </w:pPr>
            <w:r>
              <w:t>=</w:t>
            </w:r>
          </w:p>
        </w:tc>
        <w:tc>
          <w:tcPr>
            <w:tcW w:w="4975" w:type="dxa"/>
            <w:vAlign w:val="bottom"/>
          </w:tcPr>
          <w:p w:rsidR="00EA4FC5" w:rsidRDefault="00EA4FC5" w:rsidP="00F94B9E">
            <w:pPr>
              <w:widowControl w:val="0"/>
              <w:autoSpaceDE w:val="0"/>
              <w:autoSpaceDN w:val="0"/>
              <w:adjustRightInd w:val="0"/>
              <w:ind w:left="-63"/>
            </w:pPr>
            <w:r>
              <w:t>Insignificant</w:t>
            </w:r>
          </w:p>
        </w:tc>
        <w:tc>
          <w:tcPr>
            <w:tcW w:w="476" w:type="dxa"/>
            <w:vAlign w:val="bottom"/>
          </w:tcPr>
          <w:p w:rsidR="00EA4FC5" w:rsidRDefault="00EA4FC5" w:rsidP="00F94B9E">
            <w:pPr>
              <w:widowControl w:val="0"/>
              <w:autoSpaceDE w:val="0"/>
              <w:autoSpaceDN w:val="0"/>
              <w:adjustRightInd w:val="0"/>
              <w:jc w:val="center"/>
            </w:pPr>
          </w:p>
        </w:tc>
        <w:tc>
          <w:tcPr>
            <w:tcW w:w="467" w:type="dxa"/>
            <w:vAlign w:val="bottom"/>
          </w:tcPr>
          <w:p w:rsidR="00EA4FC5" w:rsidRDefault="00EA4FC5" w:rsidP="00F94B9E">
            <w:pPr>
              <w:widowControl w:val="0"/>
              <w:autoSpaceDE w:val="0"/>
              <w:autoSpaceDN w:val="0"/>
              <w:adjustRightInd w:val="0"/>
              <w:jc w:val="center"/>
            </w:pPr>
          </w:p>
        </w:tc>
        <w:tc>
          <w:tcPr>
            <w:tcW w:w="467" w:type="dxa"/>
            <w:vAlign w:val="bottom"/>
          </w:tcPr>
          <w:p w:rsidR="00EA4FC5" w:rsidRDefault="00EA4FC5" w:rsidP="00F94B9E">
            <w:pPr>
              <w:widowControl w:val="0"/>
              <w:autoSpaceDE w:val="0"/>
              <w:autoSpaceDN w:val="0"/>
              <w:adjustRightInd w:val="0"/>
              <w:jc w:val="center"/>
            </w:pPr>
          </w:p>
        </w:tc>
        <w:tc>
          <w:tcPr>
            <w:tcW w:w="476" w:type="dxa"/>
            <w:vAlign w:val="bottom"/>
          </w:tcPr>
          <w:p w:rsidR="00EA4FC5" w:rsidRDefault="00EA4FC5" w:rsidP="00F94B9E">
            <w:pPr>
              <w:widowControl w:val="0"/>
              <w:autoSpaceDE w:val="0"/>
              <w:autoSpaceDN w:val="0"/>
              <w:adjustRightInd w:val="0"/>
              <w:jc w:val="center"/>
            </w:pPr>
          </w:p>
        </w:tc>
        <w:tc>
          <w:tcPr>
            <w:tcW w:w="476" w:type="dxa"/>
            <w:vAlign w:val="bottom"/>
          </w:tcPr>
          <w:p w:rsidR="00EA4FC5" w:rsidRDefault="00EA4FC5" w:rsidP="00F94B9E">
            <w:pPr>
              <w:widowControl w:val="0"/>
              <w:autoSpaceDE w:val="0"/>
              <w:autoSpaceDN w:val="0"/>
              <w:adjustRightInd w:val="0"/>
              <w:jc w:val="center"/>
            </w:pPr>
          </w:p>
        </w:tc>
        <w:tc>
          <w:tcPr>
            <w:tcW w:w="440" w:type="dxa"/>
            <w:vAlign w:val="bottom"/>
          </w:tcPr>
          <w:p w:rsidR="00EA4FC5" w:rsidRDefault="00EA4FC5" w:rsidP="00F94B9E">
            <w:pPr>
              <w:widowControl w:val="0"/>
              <w:autoSpaceDE w:val="0"/>
              <w:autoSpaceDN w:val="0"/>
              <w:adjustRightInd w:val="0"/>
              <w:jc w:val="center"/>
            </w:pPr>
          </w:p>
        </w:tc>
      </w:tr>
      <w:tr w:rsidR="00EA4FC5">
        <w:tblPrEx>
          <w:tblCellMar>
            <w:top w:w="0" w:type="dxa"/>
            <w:bottom w:w="0" w:type="dxa"/>
          </w:tblCellMar>
        </w:tblPrEx>
        <w:trPr>
          <w:trHeight w:val="374"/>
        </w:trPr>
        <w:tc>
          <w:tcPr>
            <w:tcW w:w="727" w:type="dxa"/>
            <w:vAlign w:val="bottom"/>
          </w:tcPr>
          <w:p w:rsidR="00EA4FC5" w:rsidRDefault="00EA4FC5" w:rsidP="00EA4FC5">
            <w:pPr>
              <w:widowControl w:val="0"/>
              <w:autoSpaceDE w:val="0"/>
              <w:autoSpaceDN w:val="0"/>
              <w:adjustRightInd w:val="0"/>
              <w:ind w:left="-63"/>
              <w:jc w:val="right"/>
            </w:pPr>
            <w:r>
              <w:t>LTC</w:t>
            </w:r>
          </w:p>
        </w:tc>
        <w:tc>
          <w:tcPr>
            <w:tcW w:w="289" w:type="dxa"/>
            <w:vAlign w:val="bottom"/>
          </w:tcPr>
          <w:p w:rsidR="00EA4FC5" w:rsidRDefault="00EA4FC5" w:rsidP="00F94B9E">
            <w:pPr>
              <w:widowControl w:val="0"/>
              <w:autoSpaceDE w:val="0"/>
              <w:autoSpaceDN w:val="0"/>
              <w:adjustRightInd w:val="0"/>
              <w:ind w:left="-63"/>
            </w:pPr>
            <w:r>
              <w:t>=</w:t>
            </w:r>
          </w:p>
        </w:tc>
        <w:tc>
          <w:tcPr>
            <w:tcW w:w="4975" w:type="dxa"/>
            <w:vAlign w:val="bottom"/>
          </w:tcPr>
          <w:p w:rsidR="00EA4FC5" w:rsidRDefault="00EA4FC5" w:rsidP="00F94B9E">
            <w:pPr>
              <w:widowControl w:val="0"/>
              <w:autoSpaceDE w:val="0"/>
              <w:autoSpaceDN w:val="0"/>
              <w:adjustRightInd w:val="0"/>
              <w:ind w:left="-63"/>
            </w:pPr>
            <w:r>
              <w:t>Long-Term Care Insurance</w:t>
            </w:r>
          </w:p>
        </w:tc>
        <w:tc>
          <w:tcPr>
            <w:tcW w:w="476" w:type="dxa"/>
            <w:vAlign w:val="bottom"/>
          </w:tcPr>
          <w:p w:rsidR="00EA4FC5" w:rsidRDefault="00EA4FC5" w:rsidP="00F94B9E">
            <w:pPr>
              <w:widowControl w:val="0"/>
              <w:autoSpaceDE w:val="0"/>
              <w:autoSpaceDN w:val="0"/>
              <w:adjustRightInd w:val="0"/>
              <w:jc w:val="center"/>
            </w:pPr>
          </w:p>
        </w:tc>
        <w:tc>
          <w:tcPr>
            <w:tcW w:w="467" w:type="dxa"/>
            <w:vAlign w:val="bottom"/>
          </w:tcPr>
          <w:p w:rsidR="00EA4FC5" w:rsidRDefault="00EA4FC5" w:rsidP="00F94B9E">
            <w:pPr>
              <w:widowControl w:val="0"/>
              <w:autoSpaceDE w:val="0"/>
              <w:autoSpaceDN w:val="0"/>
              <w:adjustRightInd w:val="0"/>
              <w:jc w:val="center"/>
            </w:pPr>
          </w:p>
        </w:tc>
        <w:tc>
          <w:tcPr>
            <w:tcW w:w="467" w:type="dxa"/>
            <w:vAlign w:val="bottom"/>
          </w:tcPr>
          <w:p w:rsidR="00EA4FC5" w:rsidRDefault="00EA4FC5" w:rsidP="00F94B9E">
            <w:pPr>
              <w:widowControl w:val="0"/>
              <w:autoSpaceDE w:val="0"/>
              <w:autoSpaceDN w:val="0"/>
              <w:adjustRightInd w:val="0"/>
              <w:jc w:val="center"/>
            </w:pPr>
          </w:p>
        </w:tc>
        <w:tc>
          <w:tcPr>
            <w:tcW w:w="476" w:type="dxa"/>
            <w:vAlign w:val="bottom"/>
          </w:tcPr>
          <w:p w:rsidR="00EA4FC5" w:rsidRDefault="00EA4FC5" w:rsidP="00F94B9E">
            <w:pPr>
              <w:widowControl w:val="0"/>
              <w:autoSpaceDE w:val="0"/>
              <w:autoSpaceDN w:val="0"/>
              <w:adjustRightInd w:val="0"/>
              <w:jc w:val="center"/>
            </w:pPr>
          </w:p>
        </w:tc>
        <w:tc>
          <w:tcPr>
            <w:tcW w:w="476" w:type="dxa"/>
            <w:vAlign w:val="bottom"/>
          </w:tcPr>
          <w:p w:rsidR="00EA4FC5" w:rsidRDefault="00EA4FC5" w:rsidP="00F94B9E">
            <w:pPr>
              <w:widowControl w:val="0"/>
              <w:autoSpaceDE w:val="0"/>
              <w:autoSpaceDN w:val="0"/>
              <w:adjustRightInd w:val="0"/>
              <w:jc w:val="center"/>
            </w:pPr>
          </w:p>
        </w:tc>
        <w:tc>
          <w:tcPr>
            <w:tcW w:w="440" w:type="dxa"/>
            <w:vAlign w:val="bottom"/>
          </w:tcPr>
          <w:p w:rsidR="00EA4FC5" w:rsidRDefault="00EA4FC5" w:rsidP="00F94B9E">
            <w:pPr>
              <w:widowControl w:val="0"/>
              <w:autoSpaceDE w:val="0"/>
              <w:autoSpaceDN w:val="0"/>
              <w:adjustRightInd w:val="0"/>
              <w:jc w:val="center"/>
            </w:pPr>
          </w:p>
        </w:tc>
      </w:tr>
      <w:tr w:rsidR="00EA4FC5">
        <w:tblPrEx>
          <w:tblCellMar>
            <w:top w:w="0" w:type="dxa"/>
            <w:bottom w:w="0" w:type="dxa"/>
          </w:tblCellMar>
        </w:tblPrEx>
        <w:trPr>
          <w:trHeight w:val="374"/>
        </w:trPr>
        <w:tc>
          <w:tcPr>
            <w:tcW w:w="727" w:type="dxa"/>
            <w:vAlign w:val="bottom"/>
          </w:tcPr>
          <w:p w:rsidR="00EA4FC5" w:rsidRDefault="00EA4FC5" w:rsidP="00EA4FC5">
            <w:pPr>
              <w:widowControl w:val="0"/>
              <w:autoSpaceDE w:val="0"/>
              <w:autoSpaceDN w:val="0"/>
              <w:adjustRightInd w:val="0"/>
              <w:ind w:left="-63"/>
              <w:jc w:val="right"/>
            </w:pPr>
            <w:r>
              <w:t>LTD</w:t>
            </w:r>
          </w:p>
        </w:tc>
        <w:tc>
          <w:tcPr>
            <w:tcW w:w="289" w:type="dxa"/>
            <w:vAlign w:val="bottom"/>
          </w:tcPr>
          <w:p w:rsidR="00EA4FC5" w:rsidRDefault="00EA4FC5" w:rsidP="00F94B9E">
            <w:pPr>
              <w:widowControl w:val="0"/>
              <w:autoSpaceDE w:val="0"/>
              <w:autoSpaceDN w:val="0"/>
              <w:adjustRightInd w:val="0"/>
              <w:ind w:left="-63"/>
            </w:pPr>
            <w:r>
              <w:t>=</w:t>
            </w:r>
          </w:p>
        </w:tc>
        <w:tc>
          <w:tcPr>
            <w:tcW w:w="4975" w:type="dxa"/>
            <w:vAlign w:val="bottom"/>
          </w:tcPr>
          <w:p w:rsidR="00EA4FC5" w:rsidRDefault="00EA4FC5" w:rsidP="00F94B9E">
            <w:pPr>
              <w:widowControl w:val="0"/>
              <w:autoSpaceDE w:val="0"/>
              <w:autoSpaceDN w:val="0"/>
              <w:adjustRightInd w:val="0"/>
              <w:ind w:left="-63"/>
            </w:pPr>
            <w:r>
              <w:t>Long-Term Disability Insurance</w:t>
            </w:r>
          </w:p>
        </w:tc>
        <w:tc>
          <w:tcPr>
            <w:tcW w:w="476" w:type="dxa"/>
            <w:vAlign w:val="bottom"/>
          </w:tcPr>
          <w:p w:rsidR="00EA4FC5" w:rsidRDefault="00EA4FC5" w:rsidP="00F94B9E">
            <w:pPr>
              <w:widowControl w:val="0"/>
              <w:autoSpaceDE w:val="0"/>
              <w:autoSpaceDN w:val="0"/>
              <w:adjustRightInd w:val="0"/>
              <w:jc w:val="center"/>
            </w:pPr>
          </w:p>
        </w:tc>
        <w:tc>
          <w:tcPr>
            <w:tcW w:w="467" w:type="dxa"/>
            <w:vAlign w:val="bottom"/>
          </w:tcPr>
          <w:p w:rsidR="00EA4FC5" w:rsidRDefault="00EA4FC5" w:rsidP="00F94B9E">
            <w:pPr>
              <w:widowControl w:val="0"/>
              <w:autoSpaceDE w:val="0"/>
              <w:autoSpaceDN w:val="0"/>
              <w:adjustRightInd w:val="0"/>
              <w:jc w:val="center"/>
            </w:pPr>
          </w:p>
        </w:tc>
        <w:tc>
          <w:tcPr>
            <w:tcW w:w="467" w:type="dxa"/>
            <w:vAlign w:val="bottom"/>
          </w:tcPr>
          <w:p w:rsidR="00EA4FC5" w:rsidRDefault="00EA4FC5" w:rsidP="00F94B9E">
            <w:pPr>
              <w:widowControl w:val="0"/>
              <w:autoSpaceDE w:val="0"/>
              <w:autoSpaceDN w:val="0"/>
              <w:adjustRightInd w:val="0"/>
              <w:jc w:val="center"/>
            </w:pPr>
          </w:p>
        </w:tc>
        <w:tc>
          <w:tcPr>
            <w:tcW w:w="476" w:type="dxa"/>
            <w:vAlign w:val="bottom"/>
          </w:tcPr>
          <w:p w:rsidR="00EA4FC5" w:rsidRDefault="00EA4FC5" w:rsidP="00F94B9E">
            <w:pPr>
              <w:widowControl w:val="0"/>
              <w:autoSpaceDE w:val="0"/>
              <w:autoSpaceDN w:val="0"/>
              <w:adjustRightInd w:val="0"/>
              <w:jc w:val="center"/>
            </w:pPr>
          </w:p>
        </w:tc>
        <w:tc>
          <w:tcPr>
            <w:tcW w:w="476" w:type="dxa"/>
            <w:vAlign w:val="bottom"/>
          </w:tcPr>
          <w:p w:rsidR="00EA4FC5" w:rsidRDefault="00EA4FC5" w:rsidP="00F94B9E">
            <w:pPr>
              <w:widowControl w:val="0"/>
              <w:autoSpaceDE w:val="0"/>
              <w:autoSpaceDN w:val="0"/>
              <w:adjustRightInd w:val="0"/>
              <w:jc w:val="center"/>
            </w:pPr>
          </w:p>
        </w:tc>
        <w:tc>
          <w:tcPr>
            <w:tcW w:w="440" w:type="dxa"/>
            <w:vAlign w:val="bottom"/>
          </w:tcPr>
          <w:p w:rsidR="00EA4FC5" w:rsidRDefault="00EA4FC5" w:rsidP="00F94B9E">
            <w:pPr>
              <w:widowControl w:val="0"/>
              <w:autoSpaceDE w:val="0"/>
              <w:autoSpaceDN w:val="0"/>
              <w:adjustRightInd w:val="0"/>
              <w:jc w:val="center"/>
            </w:pPr>
          </w:p>
        </w:tc>
      </w:tr>
    </w:tbl>
    <w:p w:rsidR="00FB3FB0" w:rsidRDefault="00FB3FB0" w:rsidP="00FB3FB0">
      <w:pPr>
        <w:widowControl w:val="0"/>
        <w:autoSpaceDE w:val="0"/>
        <w:autoSpaceDN w:val="0"/>
        <w:adjustRightInd w:val="0"/>
      </w:pPr>
    </w:p>
    <w:p w:rsidR="00EA4FC5" w:rsidRPr="00D55B37" w:rsidRDefault="00EA4FC5">
      <w:pPr>
        <w:pStyle w:val="JCARSourceNote"/>
        <w:ind w:left="720"/>
      </w:pPr>
      <w:r w:rsidRPr="00D55B37">
        <w:t xml:space="preserve">(Source:  </w:t>
      </w:r>
      <w:r>
        <w:t>Amended</w:t>
      </w:r>
      <w:r w:rsidRPr="00D55B37">
        <w:t xml:space="preserve"> at </w:t>
      </w:r>
      <w:r w:rsidR="00E5468D">
        <w:t>30</w:t>
      </w:r>
      <w:r>
        <w:t xml:space="preserve"> I</w:t>
      </w:r>
      <w:r w:rsidRPr="00D55B37">
        <w:t xml:space="preserve">ll. Reg. </w:t>
      </w:r>
      <w:r w:rsidR="00876F35">
        <w:t>7766</w:t>
      </w:r>
      <w:r w:rsidRPr="00D55B37">
        <w:t xml:space="preserve">, effective </w:t>
      </w:r>
      <w:r w:rsidR="00876F35">
        <w:t>April 6, 2006</w:t>
      </w:r>
      <w:r w:rsidRPr="00D55B37">
        <w:t>)</w:t>
      </w:r>
    </w:p>
    <w:sectPr w:rsidR="00EA4FC5" w:rsidRPr="00D55B37" w:rsidSect="00763DF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63DFF"/>
    <w:rsid w:val="00246960"/>
    <w:rsid w:val="005C3366"/>
    <w:rsid w:val="006574AD"/>
    <w:rsid w:val="00763DFF"/>
    <w:rsid w:val="008542AE"/>
    <w:rsid w:val="00876F35"/>
    <w:rsid w:val="00960F8F"/>
    <w:rsid w:val="00B35B63"/>
    <w:rsid w:val="00CB221F"/>
    <w:rsid w:val="00E5468D"/>
    <w:rsid w:val="00EA4FC5"/>
    <w:rsid w:val="00F00758"/>
    <w:rsid w:val="00F212CF"/>
    <w:rsid w:val="00F94B9E"/>
    <w:rsid w:val="00FB3FB0"/>
    <w:rsid w:val="00FF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4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EA4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1103</vt:lpstr>
    </vt:vector>
  </TitlesOfParts>
  <Company>state of illinois</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1103</dc:title>
  <dc:subject/>
  <dc:creator>Illinois General Assembly</dc:creator>
  <cp:keywords/>
  <dc:description/>
  <cp:lastModifiedBy>Roberts, John</cp:lastModifiedBy>
  <cp:revision>3</cp:revision>
  <dcterms:created xsi:type="dcterms:W3CDTF">2012-06-21T18:30:00Z</dcterms:created>
  <dcterms:modified xsi:type="dcterms:W3CDTF">2012-06-21T18:30:00Z</dcterms:modified>
</cp:coreProperties>
</file>