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0D" w:rsidRDefault="0023180D" w:rsidP="00AD0C52">
      <w:bookmarkStart w:id="0" w:name="_GoBack"/>
      <w:bookmarkEnd w:id="0"/>
    </w:p>
    <w:p w:rsidR="00AD0C52" w:rsidRPr="0023180D" w:rsidRDefault="00AD0C52" w:rsidP="00AD0C52">
      <w:pPr>
        <w:rPr>
          <w:b/>
        </w:rPr>
      </w:pPr>
      <w:r w:rsidRPr="0023180D">
        <w:rPr>
          <w:b/>
        </w:rPr>
        <w:t>Section 1414.20  Purpose</w:t>
      </w:r>
    </w:p>
    <w:p w:rsidR="00AD0C52" w:rsidRPr="00AD0C52" w:rsidRDefault="00AD0C52" w:rsidP="00AD0C52"/>
    <w:p w:rsidR="00AD0C52" w:rsidRPr="00AD0C52" w:rsidRDefault="00AD0C52" w:rsidP="00AD0C52">
      <w:r w:rsidRPr="00AD0C52">
        <w:t>The purpose of this Part is to establish for preneed insurance products minimum mortality standards for reserves and nonforfeiture values, and to require the use of the 1980 Commissioner</w:t>
      </w:r>
      <w:r w:rsidR="0023180D">
        <w:t>'</w:t>
      </w:r>
      <w:r w:rsidRPr="00AD0C52">
        <w:t xml:space="preserve">s Standard Ordinary (CSO) Life Valuation Mortality Table for use in determining the minimum standard of valuation of reserves and the minimum standard nonforfeiture values for preneed insurance products.  </w:t>
      </w:r>
    </w:p>
    <w:sectPr w:rsidR="00AD0C52" w:rsidRPr="00AD0C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CD" w:rsidRDefault="00796ECD">
      <w:r>
        <w:separator/>
      </w:r>
    </w:p>
  </w:endnote>
  <w:endnote w:type="continuationSeparator" w:id="0">
    <w:p w:rsidR="00796ECD" w:rsidRDefault="0079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CD" w:rsidRDefault="00796ECD">
      <w:r>
        <w:separator/>
      </w:r>
    </w:p>
  </w:footnote>
  <w:footnote w:type="continuationSeparator" w:id="0">
    <w:p w:rsidR="00796ECD" w:rsidRDefault="0079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C5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5D38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180D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6ECD"/>
    <w:rsid w:val="007A1867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C52"/>
    <w:rsid w:val="00AD27CB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E285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