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7C" w:rsidRDefault="004D367C" w:rsidP="0046735C">
      <w:pPr>
        <w:widowControl w:val="0"/>
        <w:autoSpaceDE w:val="0"/>
        <w:autoSpaceDN w:val="0"/>
        <w:adjustRightInd w:val="0"/>
      </w:pPr>
      <w:bookmarkStart w:id="0" w:name="_GoBack"/>
      <w:bookmarkEnd w:id="0"/>
      <w:r>
        <w:rPr>
          <w:b/>
          <w:bCs/>
        </w:rPr>
        <w:br w:type="page"/>
        <w:t>Section 2002.APPENDIX A   Guidelines</w:t>
      </w:r>
      <w:r>
        <w:t xml:space="preserve"> </w:t>
      </w:r>
    </w:p>
    <w:p w:rsidR="004D367C" w:rsidRDefault="004D367C"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X </w:t>
      </w:r>
      <w:r w:rsidR="004D367C">
        <w:rPr>
          <w:b/>
          <w:bCs/>
        </w:rPr>
        <w:t xml:space="preserve"> </w:t>
      </w:r>
      <w:r>
        <w:rPr>
          <w:b/>
          <w:bCs/>
        </w:rPr>
        <w:t xml:space="preserve"> Guideline to Section 2002.90(c)</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pPr>
      <w:r>
        <w:t xml:space="preserve">This Section requires both that approval or endorsement of a policy by an individual, group of individuals, society, association or other organization be factual and that any proprietary relationship between the sponsoring or endorsing organization and the insurer be disclosed.  For example, if the dividend under an association group case is payable to the association, disclosure of that fact is required.  Also, if the insurer or an officer of the insurer formed or controls the association, that fact must be disclosed. </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46735C"/>
    <w:rsid w:val="004A02CA"/>
    <w:rsid w:val="004D367C"/>
    <w:rsid w:val="005C3366"/>
    <w:rsid w:val="007B20BF"/>
    <w:rsid w:val="008D4C80"/>
    <w:rsid w:val="00A15782"/>
    <w:rsid w:val="00B57881"/>
    <w:rsid w:val="00CF05C5"/>
    <w:rsid w:val="00D260B3"/>
    <w:rsid w:val="00EF0CCE"/>
    <w:rsid w:val="00F1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