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66" w:rsidRDefault="00574E66" w:rsidP="00574E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4E66" w:rsidRDefault="00574E66" w:rsidP="00574E66">
      <w:pPr>
        <w:widowControl w:val="0"/>
        <w:autoSpaceDE w:val="0"/>
        <w:autoSpaceDN w:val="0"/>
        <w:adjustRightInd w:val="0"/>
      </w:pPr>
      <w:r>
        <w:t xml:space="preserve">AUTHORITY:  Implementing Section 370(c) and authorized by Section 401 of the Illinois Insurance Code (Ill. Rev. Stat. 1981, ch. 73, pars. 982(c) and 1013). </w:t>
      </w:r>
    </w:p>
    <w:sectPr w:rsidR="00574E66" w:rsidSect="00574E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4E66"/>
    <w:rsid w:val="00295DF0"/>
    <w:rsid w:val="00574E66"/>
    <w:rsid w:val="005C3366"/>
    <w:rsid w:val="00DE3C6E"/>
    <w:rsid w:val="00E1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370(c) and authorized by Section 401 of the Illinois Insurance Code (Ill</vt:lpstr>
    </vt:vector>
  </TitlesOfParts>
  <Company>State of Illinois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370(c) and authorized by Section 401 of the Illinois Insurance Code (Ill</dc:title>
  <dc:subject/>
  <dc:creator>Illinois General Assembly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