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1E" w:rsidRDefault="00C80D1E" w:rsidP="00C80D1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80D1E" w:rsidRDefault="00C80D1E" w:rsidP="00C80D1E">
      <w:pPr>
        <w:widowControl w:val="0"/>
        <w:autoSpaceDE w:val="0"/>
        <w:autoSpaceDN w:val="0"/>
        <w:adjustRightInd w:val="0"/>
      </w:pPr>
      <w:r>
        <w:t xml:space="preserve">SOURCE:  Emergency Rule Adopted at 7 Ill. Reg. 719, effective December 30, 1982 for maximum of 150 days; adopted at 12 Ill. Reg. 6669, effective March 23, 1988. </w:t>
      </w:r>
      <w:r>
        <w:tab/>
      </w:r>
    </w:p>
    <w:sectPr w:rsidR="00C80D1E" w:rsidSect="00C80D1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80D1E"/>
    <w:rsid w:val="003E44D1"/>
    <w:rsid w:val="005C3366"/>
    <w:rsid w:val="00A72F86"/>
    <w:rsid w:val="00C80D1E"/>
    <w:rsid w:val="00E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 Adopted at 7 Ill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 Adopted at 7 Ill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