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AF1" w:rsidRDefault="002F7AF1" w:rsidP="002F7AF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ii:  INSURANCE PRODUCERS, LIMITED INSURANCE</w:t>
      </w:r>
    </w:p>
    <w:p w:rsidR="002F7AF1" w:rsidRDefault="002F7AF1" w:rsidP="002F7AF1">
      <w:pPr>
        <w:widowControl w:val="0"/>
        <w:autoSpaceDE w:val="0"/>
        <w:autoSpaceDN w:val="0"/>
        <w:adjustRightInd w:val="0"/>
        <w:jc w:val="center"/>
      </w:pPr>
      <w:r>
        <w:t>REPRESENTATIVES AND REGISTERED FIRMS</w:t>
      </w:r>
    </w:p>
    <w:sectPr w:rsidR="002F7AF1" w:rsidSect="002F7A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7AF1"/>
    <w:rsid w:val="000E389C"/>
    <w:rsid w:val="002F7AF1"/>
    <w:rsid w:val="005C3366"/>
    <w:rsid w:val="009E598B"/>
    <w:rsid w:val="00B1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ii:  INSURANCE PRODUCERS, LIMITED INSURANCE</vt:lpstr>
    </vt:vector>
  </TitlesOfParts>
  <Company>state of illinois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ii:  INSURANCE PRODUCERS, LIMITED INSURANCE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