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56" w:rsidRDefault="00975556" w:rsidP="009755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556" w:rsidRDefault="00975556" w:rsidP="00975556">
      <w:pPr>
        <w:widowControl w:val="0"/>
        <w:autoSpaceDE w:val="0"/>
        <w:autoSpaceDN w:val="0"/>
        <w:adjustRightInd w:val="0"/>
      </w:pPr>
      <w:r>
        <w:t xml:space="preserve">AUTHORITY:  Implementing  the Religious and Charitable Risk Pooling Trust Act [215 ILCS 150/1] and authorized by Section 20 of the Religious and Charitable Risk Pooling Trust Act [215 ILCS 150/20]. </w:t>
      </w:r>
    </w:p>
    <w:sectPr w:rsidR="00975556" w:rsidSect="009755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5556"/>
    <w:rsid w:val="00096898"/>
    <w:rsid w:val="00193958"/>
    <w:rsid w:val="005C3366"/>
    <w:rsid w:val="00961ACD"/>
    <w:rsid w:val="009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 the Religious and Charitable Risk Pooling Trust Act [215 ILCS 150/1] and authorized by Section 20 of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 the Religious and Charitable Risk Pooling Trust Act [215 ILCS 150/1] and authorized by Section 20 of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