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BC" w:rsidRDefault="008432BC" w:rsidP="008432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32BC" w:rsidRDefault="008432BC" w:rsidP="008432BC">
      <w:pPr>
        <w:widowControl w:val="0"/>
        <w:autoSpaceDE w:val="0"/>
        <w:autoSpaceDN w:val="0"/>
        <w:adjustRightInd w:val="0"/>
      </w:pPr>
      <w:r>
        <w:t xml:space="preserve">AUTHORITY:  Implementing Section 1A-104 and authorized by Section 1A-103 of the Illinois Pension Code [40 ILCS 1A-103 and 1A-104] (see P.A. 90-507, effective August 22, 1997). </w:t>
      </w:r>
    </w:p>
    <w:sectPr w:rsidR="008432BC" w:rsidSect="00843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2BC"/>
    <w:rsid w:val="005C3366"/>
    <w:rsid w:val="008432BC"/>
    <w:rsid w:val="0095431B"/>
    <w:rsid w:val="00F77FC9"/>
    <w:rsid w:val="00FA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1A-104 and authorized by Section 1A-103 of the Illinois Pension Code [40 ILCS 1A-103 and 1A-1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1A-104 and authorized by Section 1A-103 of the Illinois Pension Code [40 ILCS 1A-103 and 1A-1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