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38" w:rsidRDefault="00F32938" w:rsidP="00F329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2938" w:rsidRDefault="00F32938" w:rsidP="00F32938">
      <w:pPr>
        <w:widowControl w:val="0"/>
        <w:autoSpaceDE w:val="0"/>
        <w:autoSpaceDN w:val="0"/>
        <w:adjustRightInd w:val="0"/>
      </w:pPr>
      <w:r>
        <w:t xml:space="preserve">SOURCE:  Adopted at 3 Ill. Reg. 15, p. 104, effective April 9, 1979; codified at 6 Ill. Reg. 14844; amended at 13 Ill. Reg. 3801, effective March 15, 1989; amended at 20 Ill. Reg. 5838, effective April 9, 1996; Part 6302 recodified to Part 4402 at 21 Ill. Reg. 1727; amended at 22 Ill. Reg. 15296, effective August 7, 1998. </w:t>
      </w:r>
      <w:r>
        <w:tab/>
      </w:r>
    </w:p>
    <w:sectPr w:rsidR="00F32938" w:rsidSect="00F329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2938"/>
    <w:rsid w:val="0035610D"/>
    <w:rsid w:val="005C3366"/>
    <w:rsid w:val="0068702F"/>
    <w:rsid w:val="009764A6"/>
    <w:rsid w:val="00F3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