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3C" w:rsidRDefault="00F0113C" w:rsidP="009D1593">
      <w:bookmarkStart w:id="0" w:name="_GoBack"/>
      <w:bookmarkEnd w:id="0"/>
    </w:p>
    <w:p w:rsidR="009D1593" w:rsidRPr="00F0113C" w:rsidRDefault="009D1593" w:rsidP="009D1593">
      <w:pPr>
        <w:rPr>
          <w:b/>
        </w:rPr>
      </w:pPr>
      <w:r w:rsidRPr="00F0113C">
        <w:rPr>
          <w:b/>
        </w:rPr>
        <w:t>Section 4440.90  General Rule</w:t>
      </w:r>
    </w:p>
    <w:p w:rsidR="00F0113C" w:rsidRDefault="00F0113C" w:rsidP="009D1593"/>
    <w:p w:rsidR="009D1593" w:rsidRPr="009D1593" w:rsidRDefault="009D1593" w:rsidP="009D1593">
      <w:r w:rsidRPr="009D1593">
        <w:t xml:space="preserve">Notwithstanding any other provision to the contrary, and pursuant to 40 ILCS 5/1-116.1, distributions from a pension fund shall conform with a good faith interpretation of </w:t>
      </w:r>
      <w:r w:rsidR="00435EBA">
        <w:t>IR</w:t>
      </w:r>
      <w:r w:rsidRPr="009D1593">
        <w:t xml:space="preserve">C </w:t>
      </w:r>
      <w:r w:rsidR="00992336">
        <w:t>s</w:t>
      </w:r>
      <w:r w:rsidRPr="009D1593">
        <w:t xml:space="preserve">ection 401(a)(9) and the regulations under that </w:t>
      </w:r>
      <w:r w:rsidR="00986E77">
        <w:t>s</w:t>
      </w:r>
      <w:r w:rsidRPr="009D1593">
        <w:t xml:space="preserve">ection </w:t>
      </w:r>
      <w:r w:rsidR="00E07E3F">
        <w:t xml:space="preserve">(26 CFR 1.401(a)(9)) </w:t>
      </w:r>
      <w:r w:rsidRPr="009D1593">
        <w:t xml:space="preserve">as applicable to a governmental plan within the meaning of </w:t>
      </w:r>
      <w:r w:rsidR="00435EBA">
        <w:t>IR</w:t>
      </w:r>
      <w:r w:rsidRPr="009D1593">
        <w:t xml:space="preserve">C </w:t>
      </w:r>
      <w:r w:rsidR="00992336">
        <w:t>s</w:t>
      </w:r>
      <w:r w:rsidRPr="009D1593">
        <w:t>ection 414(d).</w:t>
      </w:r>
    </w:p>
    <w:sectPr w:rsidR="009D1593" w:rsidRPr="009D15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B5" w:rsidRDefault="003C42B5">
      <w:r>
        <w:separator/>
      </w:r>
    </w:p>
  </w:endnote>
  <w:endnote w:type="continuationSeparator" w:id="0">
    <w:p w:rsidR="003C42B5" w:rsidRDefault="003C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B5" w:rsidRDefault="003C42B5">
      <w:r>
        <w:separator/>
      </w:r>
    </w:p>
  </w:footnote>
  <w:footnote w:type="continuationSeparator" w:id="0">
    <w:p w:rsidR="003C42B5" w:rsidRDefault="003C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59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41F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BB7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42B5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5EBA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7D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E77"/>
    <w:rsid w:val="00986F7E"/>
    <w:rsid w:val="00992336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593"/>
    <w:rsid w:val="009D219C"/>
    <w:rsid w:val="009D4E6C"/>
    <w:rsid w:val="009E1EAF"/>
    <w:rsid w:val="009E4AE1"/>
    <w:rsid w:val="009E4EBC"/>
    <w:rsid w:val="009F1070"/>
    <w:rsid w:val="009F6985"/>
    <w:rsid w:val="00A01358"/>
    <w:rsid w:val="00A01690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F3D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660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18C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07E3F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13C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9D1593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9D1593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9D1593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9D1593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9D1593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9D1593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9D1593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9D1593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9D1593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9D1593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9D1593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9D1593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9D1593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9D1593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9D1593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9D1593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9D1593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9D1593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