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59" w:rsidRDefault="00BB7F59" w:rsidP="00244952">
      <w:bookmarkStart w:id="0" w:name="_GoBack"/>
      <w:bookmarkEnd w:id="0"/>
    </w:p>
    <w:p w:rsidR="00244952" w:rsidRPr="00BB7F59" w:rsidRDefault="00244952" w:rsidP="00244952">
      <w:pPr>
        <w:rPr>
          <w:b/>
        </w:rPr>
      </w:pPr>
      <w:r w:rsidRPr="00BB7F59">
        <w:rPr>
          <w:b/>
        </w:rPr>
        <w:t>Section 4440.160  Definition of Annual Benefit</w:t>
      </w:r>
    </w:p>
    <w:p w:rsidR="00BB7F59" w:rsidRDefault="00BB7F59" w:rsidP="00244952"/>
    <w:p w:rsidR="00244952" w:rsidRPr="00244952" w:rsidRDefault="00244952" w:rsidP="00244952">
      <w:r w:rsidRPr="00244952">
        <w:t xml:space="preserve">For purposes of </w:t>
      </w:r>
      <w:r w:rsidR="00AC6A7B">
        <w:t>IRC s</w:t>
      </w:r>
      <w:r w:rsidRPr="00244952">
        <w:t xml:space="preserve">ection 415(b), the "annual benefit" means a benefit payable annually in the form of a straight life annuity (with no ancillary benefits) without regard to the benefit attributable to after-tax employee contributions (except pursuant to </w:t>
      </w:r>
      <w:r w:rsidR="00AC6A7B">
        <w:t>IRC s</w:t>
      </w:r>
      <w:r w:rsidRPr="00244952">
        <w:t xml:space="preserve">ection 415(n)) and to rollover contributions (as defined in </w:t>
      </w:r>
      <w:r w:rsidR="00AC6A7B">
        <w:t>IRC</w:t>
      </w:r>
      <w:r w:rsidRPr="00244952">
        <w:t xml:space="preserve"> </w:t>
      </w:r>
      <w:r w:rsidR="00AC6A7B">
        <w:t>s</w:t>
      </w:r>
      <w:r w:rsidRPr="00244952">
        <w:t>ection 415(b)(2)(A)).  The "benefit attributable" shall be determined in accordance with Treasury Regulations (26 CFR 1.415(b)(2)(A)).</w:t>
      </w:r>
    </w:p>
    <w:sectPr w:rsidR="00244952" w:rsidRPr="002449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2E" w:rsidRDefault="00D1332E">
      <w:r>
        <w:separator/>
      </w:r>
    </w:p>
  </w:endnote>
  <w:endnote w:type="continuationSeparator" w:id="0">
    <w:p w:rsidR="00D1332E" w:rsidRDefault="00D1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2E" w:rsidRDefault="00D1332E">
      <w:r>
        <w:separator/>
      </w:r>
    </w:p>
  </w:footnote>
  <w:footnote w:type="continuationSeparator" w:id="0">
    <w:p w:rsidR="00D1332E" w:rsidRDefault="00D13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95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495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FD9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21E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2854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A7B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F59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332E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D722B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244952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244952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244952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244952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244952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244952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244952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244952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244952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244952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244952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244952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244952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244952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244952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244952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244952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244952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