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23" w:rsidRDefault="00687823" w:rsidP="00473292">
      <w:bookmarkStart w:id="0" w:name="_GoBack"/>
      <w:bookmarkEnd w:id="0"/>
    </w:p>
    <w:p w:rsidR="00473292" w:rsidRPr="00687823" w:rsidRDefault="00473292" w:rsidP="00473292">
      <w:pPr>
        <w:rPr>
          <w:b/>
        </w:rPr>
      </w:pPr>
      <w:r w:rsidRPr="00687823">
        <w:rPr>
          <w:b/>
        </w:rPr>
        <w:t>Section 4440.270  Repayments of Cashouts</w:t>
      </w:r>
    </w:p>
    <w:p w:rsidR="00687823" w:rsidRDefault="00687823" w:rsidP="00473292"/>
    <w:p w:rsidR="00473292" w:rsidRPr="00473292" w:rsidRDefault="00473292" w:rsidP="00473292">
      <w:r w:rsidRPr="00473292">
        <w:t xml:space="preserve">Any repayment of contributions (including interest) to a pension fund with respect to an amount previously refunded upon a forfeiture of service credit under a pension fund shall not be taken into account for purposes of </w:t>
      </w:r>
      <w:r w:rsidR="00CA72DB">
        <w:t>IRC</w:t>
      </w:r>
      <w:r w:rsidRPr="00473292">
        <w:t xml:space="preserve"> </w:t>
      </w:r>
      <w:r w:rsidR="00CA72DB">
        <w:t>section 415</w:t>
      </w:r>
      <w:r w:rsidRPr="00473292">
        <w:t>, in accordance with applicable Treasury Regulations (26 CFR 1.415).</w:t>
      </w:r>
    </w:p>
    <w:sectPr w:rsidR="00473292" w:rsidRPr="004732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1E" w:rsidRDefault="0060031E">
      <w:r>
        <w:separator/>
      </w:r>
    </w:p>
  </w:endnote>
  <w:endnote w:type="continuationSeparator" w:id="0">
    <w:p w:rsidR="0060031E" w:rsidRDefault="0060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1E" w:rsidRDefault="0060031E">
      <w:r>
        <w:separator/>
      </w:r>
    </w:p>
  </w:footnote>
  <w:footnote w:type="continuationSeparator" w:id="0">
    <w:p w:rsidR="0060031E" w:rsidRDefault="0060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2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29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031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823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18F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62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2DB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F72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B6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7329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7329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7329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7329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7329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7329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7329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7329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473292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7329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7329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7329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7329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7329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7329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7329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7329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473292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