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60A1" w14:textId="77777777" w:rsidR="000174EB" w:rsidRDefault="000174EB" w:rsidP="00093935"/>
    <w:p w14:paraId="75CAE5F0" w14:textId="77777777" w:rsidR="00D53274" w:rsidRPr="00D53274" w:rsidRDefault="00D53274" w:rsidP="00D53274">
      <w:pPr>
        <w:textAlignment w:val="baseline"/>
        <w:rPr>
          <w:rFonts w:ascii="Segoe UI" w:hAnsi="Segoe UI" w:cs="Segoe UI"/>
          <w:sz w:val="18"/>
          <w:szCs w:val="18"/>
        </w:rPr>
      </w:pPr>
      <w:r w:rsidRPr="00D53274">
        <w:rPr>
          <w:b/>
          <w:bCs/>
        </w:rPr>
        <w:t>Sectio</w:t>
      </w:r>
      <w:r>
        <w:rPr>
          <w:b/>
          <w:bCs/>
        </w:rPr>
        <w:t xml:space="preserve">n </w:t>
      </w:r>
      <w:proofErr w:type="gramStart"/>
      <w:r>
        <w:rPr>
          <w:b/>
          <w:bCs/>
        </w:rPr>
        <w:t xml:space="preserve">4540.50  </w:t>
      </w:r>
      <w:r w:rsidRPr="00D53274">
        <w:rPr>
          <w:b/>
          <w:bCs/>
        </w:rPr>
        <w:t>Material</w:t>
      </w:r>
      <w:proofErr w:type="gramEnd"/>
      <w:r w:rsidRPr="00D53274">
        <w:rPr>
          <w:b/>
          <w:bCs/>
        </w:rPr>
        <w:t xml:space="preserve"> Changes to a Network</w:t>
      </w:r>
    </w:p>
    <w:p w14:paraId="03E42625" w14:textId="77777777" w:rsidR="00D53274" w:rsidRPr="00D53274" w:rsidRDefault="00D53274" w:rsidP="00D53274">
      <w:pPr>
        <w:textAlignment w:val="baseline"/>
      </w:pPr>
    </w:p>
    <w:p w14:paraId="629819F4" w14:textId="5A7997BD" w:rsidR="00D53274" w:rsidRDefault="00874011" w:rsidP="00874011">
      <w:pPr>
        <w:ind w:left="1440" w:hanging="720"/>
        <w:textAlignment w:val="baseline"/>
      </w:pPr>
      <w:r>
        <w:t>a)</w:t>
      </w:r>
      <w:r>
        <w:tab/>
      </w:r>
      <w:r w:rsidR="00C567F7">
        <w:t xml:space="preserve">Within 15 days after any material change in an approved network plan, an insurer must submit a material change filing.  The insurer shall submit a revised version of the most </w:t>
      </w:r>
      <w:r w:rsidR="000C1DC1">
        <w:t xml:space="preserve">recent </w:t>
      </w:r>
      <w:r w:rsidR="00C567F7">
        <w:t xml:space="preserve">network adequacy filing described in Section 4540.40 based on the material change and shall identify the </w:t>
      </w:r>
      <w:proofErr w:type="spellStart"/>
      <w:r w:rsidR="00C567F7">
        <w:t>SERFF</w:t>
      </w:r>
      <w:proofErr w:type="spellEnd"/>
      <w:r w:rsidR="00C567F7">
        <w:t xml:space="preserve"> Tracking Number of the annual filing that the material change filing is updating.  The material change filing must show the changes for each document that was revised from the annual filing and must ensure that any exemptions requested under Section 10(g) of the Act account for the material change.  Including when a major health system is removed from a network, an insurer </w:t>
      </w:r>
      <w:r w:rsidR="00A6750A">
        <w:t xml:space="preserve">is only required to submit information related to the provider specialty type or types affected by the material change </w:t>
      </w:r>
      <w:r w:rsidR="00785040">
        <w:t xml:space="preserve">and, </w:t>
      </w:r>
      <w:r w:rsidR="00A6750A">
        <w:t>unless the network</w:t>
      </w:r>
      <w:r w:rsidR="000C1DC1">
        <w:t xml:space="preserve"> as</w:t>
      </w:r>
      <w:r w:rsidR="00A6750A">
        <w:t xml:space="preserve"> a whole experienced a 10% reduction, only in the county or counties where beneficiaries were affected by the ma</w:t>
      </w:r>
      <w:r w:rsidR="000C1DC1">
        <w:t>teria</w:t>
      </w:r>
      <w:r w:rsidR="00A6750A">
        <w:t xml:space="preserve">l change.  Material </w:t>
      </w:r>
      <w:proofErr w:type="gramStart"/>
      <w:r w:rsidR="00A6750A">
        <w:t>change</w:t>
      </w:r>
      <w:proofErr w:type="gramEnd"/>
      <w:r w:rsidR="00A6750A">
        <w:t xml:space="preserve"> filings do not need to include any documents described in Section 4540.40(k)</w:t>
      </w:r>
      <w:r>
        <w:t xml:space="preserve"> through </w:t>
      </w:r>
      <w:r w:rsidR="00A6750A">
        <w:t>(o) or (s).</w:t>
      </w:r>
    </w:p>
    <w:p w14:paraId="05BF17C3" w14:textId="0EFF4F1D" w:rsidR="00874011" w:rsidRDefault="00874011" w:rsidP="002942BA">
      <w:pPr>
        <w:textAlignment w:val="baseline"/>
      </w:pPr>
    </w:p>
    <w:p w14:paraId="738AB2A5" w14:textId="662F3AF9" w:rsidR="00874011" w:rsidRPr="00D53274" w:rsidRDefault="00874011" w:rsidP="00874011">
      <w:pPr>
        <w:ind w:left="1440" w:hanging="720"/>
        <w:textAlignment w:val="baseline"/>
      </w:pPr>
      <w:r>
        <w:t>b)</w:t>
      </w:r>
      <w:r>
        <w:tab/>
        <w:t>An insurer may request a 15-day extension to submit the filing described in this Section if, by the original deadline, the insurer reports to the Department the specific triggers for the material change, the provider specialty types known to be affected, the counties known to b</w:t>
      </w:r>
      <w:r w:rsidR="00F001D1">
        <w:t>e</w:t>
      </w:r>
      <w:r>
        <w:t xml:space="preserve"> affected, and the aggregate number of current beneficiaries affected.  The Department will not unreasonably withhold approval of an </w:t>
      </w:r>
      <w:r w:rsidR="00F001D1">
        <w:t>extension</w:t>
      </w:r>
      <w:r>
        <w:t xml:space="preserve"> satisfying these criteria.</w:t>
      </w:r>
    </w:p>
    <w:sectPr w:rsidR="00874011" w:rsidRPr="00D5327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DF86" w14:textId="77777777" w:rsidR="004F50F3" w:rsidRDefault="004F50F3">
      <w:r>
        <w:separator/>
      </w:r>
    </w:p>
  </w:endnote>
  <w:endnote w:type="continuationSeparator" w:id="0">
    <w:p w14:paraId="610FDB20" w14:textId="77777777" w:rsidR="004F50F3" w:rsidRDefault="004F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8E8B" w14:textId="77777777" w:rsidR="004F50F3" w:rsidRDefault="004F50F3">
      <w:r>
        <w:separator/>
      </w:r>
    </w:p>
  </w:footnote>
  <w:footnote w:type="continuationSeparator" w:id="0">
    <w:p w14:paraId="74CC9778" w14:textId="77777777" w:rsidR="004F50F3" w:rsidRDefault="004F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1DC1"/>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42BA"/>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880"/>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50F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5040"/>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011"/>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50A"/>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7F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274"/>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1D1"/>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0A8EA"/>
  <w15:chartTrackingRefBased/>
  <w15:docId w15:val="{0D4E7C2C-E74B-42F9-B759-1B2C24C5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249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8</cp:revision>
  <dcterms:created xsi:type="dcterms:W3CDTF">2022-04-04T14:01:00Z</dcterms:created>
  <dcterms:modified xsi:type="dcterms:W3CDTF">2023-04-14T16:49:00Z</dcterms:modified>
</cp:coreProperties>
</file>