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95" w:rsidRDefault="00480495" w:rsidP="00480495">
      <w:pPr>
        <w:widowControl w:val="0"/>
        <w:autoSpaceDE w:val="0"/>
        <w:autoSpaceDN w:val="0"/>
        <w:adjustRightInd w:val="0"/>
      </w:pPr>
      <w:bookmarkStart w:id="0" w:name="_GoBack"/>
      <w:bookmarkEnd w:id="0"/>
    </w:p>
    <w:p w:rsidR="00480495" w:rsidRDefault="00480495" w:rsidP="00480495">
      <w:pPr>
        <w:widowControl w:val="0"/>
        <w:autoSpaceDE w:val="0"/>
        <w:autoSpaceDN w:val="0"/>
        <w:adjustRightInd w:val="0"/>
      </w:pPr>
      <w:r>
        <w:rPr>
          <w:b/>
          <w:bCs/>
        </w:rPr>
        <w:t>Section 8100.1100  Records of Statutory Premium Reserve</w:t>
      </w:r>
      <w:r>
        <w:t xml:space="preserve"> </w:t>
      </w:r>
    </w:p>
    <w:p w:rsidR="00480495" w:rsidRDefault="00480495" w:rsidP="00480495">
      <w:pPr>
        <w:widowControl w:val="0"/>
        <w:autoSpaceDE w:val="0"/>
        <w:autoSpaceDN w:val="0"/>
        <w:adjustRightInd w:val="0"/>
      </w:pPr>
    </w:p>
    <w:p w:rsidR="00480495" w:rsidRDefault="00480495" w:rsidP="00480495">
      <w:pPr>
        <w:widowControl w:val="0"/>
        <w:autoSpaceDE w:val="0"/>
        <w:autoSpaceDN w:val="0"/>
        <w:adjustRightInd w:val="0"/>
      </w:pPr>
      <w:r>
        <w:t xml:space="preserve">Each Company shall maintain a record of the statutory premium reserve required pursuant to Section 11 of the Act, which sets forth the basis of and computation of the reserve, along with the amount of, date of and computation of each amount released from the reserve. </w:t>
      </w:r>
    </w:p>
    <w:sectPr w:rsidR="00480495" w:rsidSect="004804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495"/>
    <w:rsid w:val="002D1E42"/>
    <w:rsid w:val="00480495"/>
    <w:rsid w:val="005C3366"/>
    <w:rsid w:val="00F56E01"/>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