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D63" w:rsidRDefault="00BC7D63" w:rsidP="00E91EB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1EBD" w:rsidRDefault="00E91EBD" w:rsidP="00E91EB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100.5  Applicability</w:t>
      </w:r>
      <w:r>
        <w:t xml:space="preserve"> </w:t>
      </w:r>
    </w:p>
    <w:p w:rsidR="0099095E" w:rsidRDefault="0099095E" w:rsidP="00E91EBD">
      <w:pPr>
        <w:widowControl w:val="0"/>
        <w:autoSpaceDE w:val="0"/>
        <w:autoSpaceDN w:val="0"/>
        <w:adjustRightInd w:val="0"/>
      </w:pPr>
    </w:p>
    <w:p w:rsidR="00E91EBD" w:rsidRDefault="00E91EBD" w:rsidP="00E91EBD">
      <w:pPr>
        <w:widowControl w:val="0"/>
        <w:autoSpaceDE w:val="0"/>
        <w:autoSpaceDN w:val="0"/>
        <w:adjustRightInd w:val="0"/>
      </w:pPr>
      <w:r>
        <w:t xml:space="preserve">This Part shall apply to all hearings conducted by this Department of Labor under Section 11a of </w:t>
      </w:r>
      <w:r w:rsidR="00387FA5">
        <w:t>the Prevailing Wage Act [820 ILCS 130</w:t>
      </w:r>
      <w:r w:rsidR="00915495">
        <w:t>/11a</w:t>
      </w:r>
      <w:r w:rsidR="00387FA5">
        <w:t>]</w:t>
      </w:r>
      <w:r>
        <w:t xml:space="preserve"> (the Act) for purposes of debarring a contractor or subcontractor from contracting for public works as defined in the Act for a </w:t>
      </w:r>
      <w:r w:rsidR="00945FC9">
        <w:t>four</w:t>
      </w:r>
      <w:r>
        <w:t xml:space="preserve"> year period.  Such debarment is automatic after the contractor or subcontractor has received notice of a second violation of the Act</w:t>
      </w:r>
      <w:r w:rsidR="00945FC9">
        <w:t xml:space="preserve"> within five years from the date of the </w:t>
      </w:r>
      <w:r w:rsidR="00852FEE">
        <w:t xml:space="preserve">notice of </w:t>
      </w:r>
      <w:r w:rsidR="00945FC9">
        <w:t>first violation</w:t>
      </w:r>
      <w:r>
        <w:t xml:space="preserve">, unless within 10 working days </w:t>
      </w:r>
      <w:r w:rsidR="004B159A">
        <w:t>after</w:t>
      </w:r>
      <w:r>
        <w:t xml:space="preserve"> receipt of the notice of a second violation </w:t>
      </w:r>
      <w:r w:rsidR="004B159A">
        <w:t>he/she</w:t>
      </w:r>
      <w:r>
        <w:t xml:space="preserve"> requests a hearing in writing in accordance with </w:t>
      </w:r>
      <w:r w:rsidR="004B159A">
        <w:t>this Part</w:t>
      </w:r>
      <w:r>
        <w:t xml:space="preserve">. </w:t>
      </w:r>
    </w:p>
    <w:p w:rsidR="009552BF" w:rsidRDefault="009552BF">
      <w:pPr>
        <w:pStyle w:val="JCARSourceNote"/>
        <w:ind w:left="720"/>
      </w:pPr>
    </w:p>
    <w:p w:rsidR="00945FC9" w:rsidRPr="00D55B37" w:rsidRDefault="00945FC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B50720">
        <w:t>16293</w:t>
      </w:r>
      <w:r w:rsidRPr="00D55B37">
        <w:t xml:space="preserve">, effective </w:t>
      </w:r>
      <w:r w:rsidR="00B50720">
        <w:t>September 26, 2006</w:t>
      </w:r>
      <w:r w:rsidRPr="00D55B37">
        <w:t>)</w:t>
      </w:r>
    </w:p>
    <w:sectPr w:rsidR="00945FC9" w:rsidRPr="00D55B37" w:rsidSect="00E91E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1EBD"/>
    <w:rsid w:val="001533E2"/>
    <w:rsid w:val="002958DD"/>
    <w:rsid w:val="00387FA5"/>
    <w:rsid w:val="003D2DD1"/>
    <w:rsid w:val="004B159A"/>
    <w:rsid w:val="004D34C8"/>
    <w:rsid w:val="005C3366"/>
    <w:rsid w:val="007D5A1C"/>
    <w:rsid w:val="00841DE8"/>
    <w:rsid w:val="00852FEE"/>
    <w:rsid w:val="00915495"/>
    <w:rsid w:val="00945FC9"/>
    <w:rsid w:val="009552BF"/>
    <w:rsid w:val="0099095E"/>
    <w:rsid w:val="00B50720"/>
    <w:rsid w:val="00BC7D63"/>
    <w:rsid w:val="00C52A1B"/>
    <w:rsid w:val="00CB4C9B"/>
    <w:rsid w:val="00D118EB"/>
    <w:rsid w:val="00D25F8F"/>
    <w:rsid w:val="00E91EBD"/>
    <w:rsid w:val="00F6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552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55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Illinois General Assembly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