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B3B" w:rsidRPr="002C68F0" w:rsidRDefault="00327B3B" w:rsidP="00327B3B">
      <w:pPr>
        <w:widowControl w:val="0"/>
        <w:autoSpaceDE w:val="0"/>
        <w:autoSpaceDN w:val="0"/>
        <w:adjustRightInd w:val="0"/>
      </w:pPr>
    </w:p>
    <w:p w:rsidR="00327B3B" w:rsidRPr="002C68F0" w:rsidRDefault="00327B3B" w:rsidP="00327B3B">
      <w:pPr>
        <w:widowControl w:val="0"/>
        <w:autoSpaceDE w:val="0"/>
        <w:autoSpaceDN w:val="0"/>
        <w:adjustRightInd w:val="0"/>
      </w:pPr>
      <w:r w:rsidRPr="002C68F0">
        <w:rPr>
          <w:b/>
          <w:bCs/>
        </w:rPr>
        <w:t>Section 120.640  Administrative Law Judge's Decision</w:t>
      </w:r>
      <w:r w:rsidRPr="002C68F0">
        <w:t xml:space="preserve"> </w:t>
      </w:r>
      <w:r w:rsidR="007959EC" w:rsidRPr="002C68F0">
        <w:rPr>
          <w:b/>
        </w:rPr>
        <w:t>and Order</w:t>
      </w:r>
    </w:p>
    <w:p w:rsidR="00327B3B" w:rsidRPr="002C68F0" w:rsidRDefault="00327B3B" w:rsidP="00327B3B">
      <w:pPr>
        <w:widowControl w:val="0"/>
        <w:autoSpaceDE w:val="0"/>
        <w:autoSpaceDN w:val="0"/>
        <w:adjustRightInd w:val="0"/>
      </w:pPr>
    </w:p>
    <w:p w:rsidR="00327B3B" w:rsidRPr="002C68F0" w:rsidRDefault="0059295F" w:rsidP="0059295F">
      <w:pPr>
        <w:widowControl w:val="0"/>
        <w:autoSpaceDE w:val="0"/>
        <w:autoSpaceDN w:val="0"/>
        <w:adjustRightInd w:val="0"/>
        <w:ind w:left="1440" w:hanging="720"/>
      </w:pPr>
      <w:r w:rsidRPr="002C68F0">
        <w:t>a)</w:t>
      </w:r>
      <w:r w:rsidRPr="002C68F0">
        <w:tab/>
      </w:r>
      <w:r w:rsidR="007959EC" w:rsidRPr="002C68F0">
        <w:t xml:space="preserve">The </w:t>
      </w:r>
      <w:r w:rsidR="00813AE6" w:rsidRPr="002C68F0">
        <w:t>ALJ's</w:t>
      </w:r>
      <w:r w:rsidR="007959EC" w:rsidRPr="002C68F0">
        <w:t xml:space="preserve"> decision shall be in writing and</w:t>
      </w:r>
      <w:r w:rsidR="00A71706" w:rsidRPr="002C68F0">
        <w:t>,</w:t>
      </w:r>
      <w:r w:rsidR="007959EC" w:rsidRPr="002C68F0">
        <w:t xml:space="preserve"> when necessary</w:t>
      </w:r>
      <w:r w:rsidR="00A71706" w:rsidRPr="002C68F0">
        <w:t>,</w:t>
      </w:r>
      <w:r w:rsidR="007959EC" w:rsidRPr="002C68F0">
        <w:t xml:space="preserve"> include findings of fact and conclusions of law and opinions.  The findings of fact shall be based exclusively on the evidence presented at hearing or known to all parties, including matters officially noticed.  The</w:t>
      </w:r>
      <w:r w:rsidR="00327B3B" w:rsidRPr="002C68F0">
        <w:t xml:space="preserve"> </w:t>
      </w:r>
      <w:r w:rsidR="00813AE6" w:rsidRPr="002C68F0">
        <w:t>ALJ</w:t>
      </w:r>
      <w:r w:rsidR="00327B3B" w:rsidRPr="002C68F0">
        <w:t xml:space="preserve"> shall, in addition to the </w:t>
      </w:r>
      <w:r w:rsidR="007959EC" w:rsidRPr="002C68F0">
        <w:t>decision</w:t>
      </w:r>
      <w:r w:rsidR="006D2C6A" w:rsidRPr="002C68F0">
        <w:t>,</w:t>
      </w:r>
      <w:r w:rsidR="00327B3B" w:rsidRPr="002C68F0">
        <w:t xml:space="preserve"> issue an </w:t>
      </w:r>
      <w:r w:rsidR="007959EC" w:rsidRPr="002C68F0">
        <w:t xml:space="preserve">appropriate </w:t>
      </w:r>
      <w:r w:rsidR="00327B3B" w:rsidRPr="002C68F0">
        <w:t xml:space="preserve">order. The decision in the case shall become effective immediately upon the execution of the order by the </w:t>
      </w:r>
      <w:r w:rsidR="00A71706" w:rsidRPr="002C68F0">
        <w:t>ALJ</w:t>
      </w:r>
      <w:r w:rsidR="00327B3B" w:rsidRPr="002C68F0">
        <w:t xml:space="preserve"> or as otherwise specified within the order or an applicable statute. A copy of the order shall be delivered or mailed to each party </w:t>
      </w:r>
      <w:r w:rsidR="007959EC" w:rsidRPr="002C68F0">
        <w:t xml:space="preserve">of record </w:t>
      </w:r>
      <w:r w:rsidR="00327B3B" w:rsidRPr="002C68F0">
        <w:t>and to each attorney of record</w:t>
      </w:r>
      <w:r w:rsidR="00FC711B" w:rsidRPr="002C68F0">
        <w:t>.</w:t>
      </w:r>
      <w:r w:rsidR="00327B3B" w:rsidRPr="002C68F0">
        <w:t xml:space="preserve"> </w:t>
      </w:r>
      <w:r w:rsidR="00D85F78" w:rsidRPr="002C68F0">
        <w:t xml:space="preserve"> This Section applies to </w:t>
      </w:r>
      <w:r w:rsidRPr="002C68F0">
        <w:t xml:space="preserve">all </w:t>
      </w:r>
      <w:r w:rsidR="00D85F78" w:rsidRPr="002C68F0">
        <w:t xml:space="preserve">formal hearings held pursuant to the Child Labor Law </w:t>
      </w:r>
      <w:r w:rsidR="00FC711B" w:rsidRPr="002C68F0">
        <w:t>[</w:t>
      </w:r>
      <w:r w:rsidR="00D85F78" w:rsidRPr="002C68F0">
        <w:t>820 ILCS 205</w:t>
      </w:r>
      <w:r w:rsidR="00FC711B" w:rsidRPr="002C68F0">
        <w:t>]</w:t>
      </w:r>
      <w:r w:rsidR="00D85F78" w:rsidRPr="002C68F0">
        <w:t xml:space="preserve">, Day and Temporary Labor Services Act </w:t>
      </w:r>
      <w:r w:rsidR="00FC711B" w:rsidRPr="002C68F0">
        <w:t>[</w:t>
      </w:r>
      <w:r w:rsidR="00D85F78" w:rsidRPr="002C68F0">
        <w:t>820 ILCS 175</w:t>
      </w:r>
      <w:r w:rsidR="00FC711B" w:rsidRPr="002C68F0">
        <w:t>]</w:t>
      </w:r>
      <w:r w:rsidR="00D85F78" w:rsidRPr="002C68F0">
        <w:t xml:space="preserve">, Nurse Agency Licensing Act </w:t>
      </w:r>
      <w:r w:rsidR="00FC711B" w:rsidRPr="002C68F0">
        <w:t>[</w:t>
      </w:r>
      <w:r w:rsidR="00D85F78" w:rsidRPr="002C68F0">
        <w:t>225 ILCS 510</w:t>
      </w:r>
      <w:r w:rsidR="00FC711B" w:rsidRPr="002C68F0">
        <w:t>]</w:t>
      </w:r>
      <w:r w:rsidR="00D85F78" w:rsidRPr="002C68F0">
        <w:t xml:space="preserve">, Prevailing Wage Act </w:t>
      </w:r>
      <w:r w:rsidR="00FC711B" w:rsidRPr="002C68F0">
        <w:t>[</w:t>
      </w:r>
      <w:r w:rsidR="00D85F78" w:rsidRPr="002C68F0">
        <w:t>820 ILCS 130/</w:t>
      </w:r>
      <w:r w:rsidRPr="002C68F0">
        <w:t xml:space="preserve">9 and </w:t>
      </w:r>
      <w:r w:rsidR="00D85F78" w:rsidRPr="002C68F0">
        <w:t>11a</w:t>
      </w:r>
      <w:r w:rsidR="00FC711B" w:rsidRPr="002C68F0">
        <w:t>]</w:t>
      </w:r>
      <w:r w:rsidR="00D85F78" w:rsidRPr="002C68F0">
        <w:t xml:space="preserve">, Health and Safety Act </w:t>
      </w:r>
      <w:r w:rsidR="00FC711B" w:rsidRPr="002C68F0">
        <w:t>[</w:t>
      </w:r>
      <w:r w:rsidR="00D85F78" w:rsidRPr="002C68F0">
        <w:t>820 ILCS 225</w:t>
      </w:r>
      <w:r w:rsidR="00FC711B" w:rsidRPr="002C68F0">
        <w:t>]</w:t>
      </w:r>
      <w:r w:rsidR="00D85F78" w:rsidRPr="002C68F0">
        <w:t xml:space="preserve">, Safety Inspection and Education Act </w:t>
      </w:r>
      <w:r w:rsidR="00FC711B" w:rsidRPr="002C68F0">
        <w:t>[</w:t>
      </w:r>
      <w:r w:rsidR="00D85F78" w:rsidRPr="002C68F0">
        <w:t>820 ILCS 220</w:t>
      </w:r>
      <w:r w:rsidR="00FC711B" w:rsidRPr="002C68F0">
        <w:t>]</w:t>
      </w:r>
      <w:r w:rsidR="00A71706" w:rsidRPr="002C68F0">
        <w:t>,</w:t>
      </w:r>
      <w:r w:rsidR="00D85F78" w:rsidRPr="002C68F0">
        <w:t xml:space="preserve"> Illinois Worker Adjustment and Retraining Notification Act </w:t>
      </w:r>
      <w:r w:rsidR="00FC711B" w:rsidRPr="002C68F0">
        <w:t>[</w:t>
      </w:r>
      <w:r w:rsidR="00D85F78" w:rsidRPr="002C68F0">
        <w:t>820 ILCS 65</w:t>
      </w:r>
      <w:r w:rsidR="00FC711B" w:rsidRPr="002C68F0">
        <w:t>]</w:t>
      </w:r>
      <w:r w:rsidRPr="002C68F0">
        <w:t>, Employee Classification Act [820 ILCS 185/25], Private Employment Agency Act [225 ILCS 515/12], One Day Rest in Seven Act [820 ILCS 140/6] and Carnival and Amusement Rides Safety Act [430 ILCS 85/2-8.1, 2-12 and 2-15].</w:t>
      </w:r>
    </w:p>
    <w:p w:rsidR="007959EC" w:rsidRPr="002C68F0" w:rsidRDefault="007959EC" w:rsidP="00327B3B">
      <w:pPr>
        <w:widowControl w:val="0"/>
        <w:autoSpaceDE w:val="0"/>
        <w:autoSpaceDN w:val="0"/>
        <w:adjustRightInd w:val="0"/>
      </w:pPr>
    </w:p>
    <w:p w:rsidR="0059295F" w:rsidRPr="002C68F0" w:rsidRDefault="0059295F" w:rsidP="0059295F">
      <w:pPr>
        <w:pStyle w:val="ListParagraph"/>
        <w:widowControl w:val="0"/>
        <w:autoSpaceDE w:val="0"/>
        <w:autoSpaceDN w:val="0"/>
        <w:adjustRightInd w:val="0"/>
        <w:ind w:left="1440" w:hanging="720"/>
      </w:pPr>
      <w:r w:rsidRPr="002C68F0">
        <w:t>b)</w:t>
      </w:r>
      <w:r w:rsidRPr="002C68F0">
        <w:tab/>
        <w:t>The ALJ shall forward a copy of his or her decision</w:t>
      </w:r>
      <w:r w:rsidR="00A71706" w:rsidRPr="002C68F0">
        <w:t>,</w:t>
      </w:r>
      <w:r w:rsidRPr="002C68F0">
        <w:t xml:space="preserve"> including findings of fact, opinions, recommendations and order</w:t>
      </w:r>
      <w:r w:rsidR="00A71706" w:rsidRPr="002C68F0">
        <w:t>,</w:t>
      </w:r>
      <w:r w:rsidRPr="002C68F0">
        <w:t xml:space="preserve"> to each party of record</w:t>
      </w:r>
      <w:r w:rsidR="00A71706" w:rsidRPr="002C68F0">
        <w:t>.  E</w:t>
      </w:r>
      <w:r w:rsidRPr="002C68F0">
        <w:t>ach party of record shall be allowed 10 days in which to submit exceptions to the findings, opinions, recommendations and order of the ALJ and to present a brief  in support of those exceptions.  In the event no timely or proper exceptions are filed, the findings, conclusions, recommendations and order shall automatically become the decision and order of the Director</w:t>
      </w:r>
      <w:r w:rsidR="00C9764C" w:rsidRPr="002C68F0">
        <w:t>.</w:t>
      </w:r>
      <w:r w:rsidRPr="002C68F0">
        <w:t xml:space="preserve"> </w:t>
      </w:r>
      <w:r w:rsidR="00A71706" w:rsidRPr="002C68F0">
        <w:t>A</w:t>
      </w:r>
      <w:r w:rsidRPr="002C68F0">
        <w:t xml:space="preserve">ll objections and exceptions </w:t>
      </w:r>
      <w:r w:rsidR="00A71706" w:rsidRPr="002C68F0">
        <w:t xml:space="preserve">to the </w:t>
      </w:r>
      <w:r w:rsidR="00C9764C" w:rsidRPr="002C68F0">
        <w:t>D</w:t>
      </w:r>
      <w:r w:rsidR="00A71706" w:rsidRPr="002C68F0">
        <w:t>irect</w:t>
      </w:r>
      <w:r w:rsidR="001D5DC3" w:rsidRPr="002C68F0">
        <w:t>or'</w:t>
      </w:r>
      <w:r w:rsidR="00A71706" w:rsidRPr="002C68F0">
        <w:t xml:space="preserve">s decision and order </w:t>
      </w:r>
      <w:r w:rsidRPr="002C68F0">
        <w:t>shall be deemed waived for all purposes.  Service of the ALJ's decision and of the order transferring the case to the Director shall be complete upon mailing.</w:t>
      </w:r>
    </w:p>
    <w:p w:rsidR="0059295F" w:rsidRPr="002C68F0" w:rsidRDefault="0059295F" w:rsidP="0059295F">
      <w:pPr>
        <w:pStyle w:val="ListParagraph"/>
      </w:pPr>
    </w:p>
    <w:p w:rsidR="00A71706" w:rsidRPr="002C68F0" w:rsidRDefault="0059295F" w:rsidP="0059295F">
      <w:pPr>
        <w:pStyle w:val="Default"/>
        <w:ind w:left="1440" w:hanging="720"/>
      </w:pPr>
      <w:r w:rsidRPr="002C68F0">
        <w:t>c)</w:t>
      </w:r>
      <w:r w:rsidRPr="002C68F0">
        <w:tab/>
      </w:r>
      <w:r w:rsidR="00A71706" w:rsidRPr="002C68F0">
        <w:t>Exceptions</w:t>
      </w:r>
    </w:p>
    <w:p w:rsidR="00A71706" w:rsidRPr="002C68F0" w:rsidRDefault="00A71706" w:rsidP="0059295F">
      <w:pPr>
        <w:pStyle w:val="Default"/>
        <w:ind w:left="1440" w:hanging="720"/>
      </w:pPr>
    </w:p>
    <w:p w:rsidR="00A71706" w:rsidRPr="002C68F0" w:rsidRDefault="00A71706" w:rsidP="00A71706">
      <w:pPr>
        <w:pStyle w:val="Default"/>
        <w:ind w:left="1440"/>
      </w:pPr>
      <w:r w:rsidRPr="002C68F0">
        <w:t>1)</w:t>
      </w:r>
      <w:r w:rsidRPr="002C68F0">
        <w:tab/>
      </w:r>
      <w:r w:rsidR="0059295F" w:rsidRPr="002C68F0">
        <w:t xml:space="preserve">Each exception </w:t>
      </w:r>
      <w:r w:rsidRPr="002C68F0">
        <w:t>shall:</w:t>
      </w:r>
    </w:p>
    <w:p w:rsidR="00A71706" w:rsidRPr="002C68F0" w:rsidRDefault="00A71706" w:rsidP="00A71706">
      <w:pPr>
        <w:pStyle w:val="Default"/>
        <w:ind w:left="1440"/>
      </w:pPr>
    </w:p>
    <w:p w:rsidR="00A71706" w:rsidRPr="002C68F0" w:rsidRDefault="00A71706" w:rsidP="00A71706">
      <w:pPr>
        <w:pStyle w:val="Default"/>
        <w:ind w:left="2880" w:hanging="720"/>
      </w:pPr>
      <w:r w:rsidRPr="002C68F0">
        <w:t>A</w:t>
      </w:r>
      <w:r w:rsidR="0059295F" w:rsidRPr="002C68F0">
        <w:t>)</w:t>
      </w:r>
      <w:r w:rsidRPr="002C68F0">
        <w:tab/>
      </w:r>
      <w:r w:rsidR="0059295F" w:rsidRPr="002C68F0">
        <w:t>set forth specifically the questions of procedure, fact, law or policy to which exception is taken;</w:t>
      </w:r>
    </w:p>
    <w:p w:rsidR="00A71706" w:rsidRPr="002C68F0" w:rsidRDefault="00A71706" w:rsidP="00A71706">
      <w:pPr>
        <w:pStyle w:val="Default"/>
        <w:ind w:left="1440" w:firstLine="720"/>
      </w:pPr>
    </w:p>
    <w:p w:rsidR="00A71706" w:rsidRPr="002C68F0" w:rsidRDefault="00A71706" w:rsidP="00A71706">
      <w:pPr>
        <w:pStyle w:val="Default"/>
        <w:ind w:left="1440" w:firstLine="720"/>
      </w:pPr>
      <w:r w:rsidRPr="002C68F0">
        <w:t>B)</w:t>
      </w:r>
      <w:r w:rsidRPr="002C68F0">
        <w:tab/>
      </w:r>
      <w:r w:rsidR="0059295F" w:rsidRPr="002C68F0">
        <w:t xml:space="preserve">identify that part of the </w:t>
      </w:r>
      <w:r w:rsidR="00882C47" w:rsidRPr="002C68F0">
        <w:t>ALJ's</w:t>
      </w:r>
      <w:r w:rsidR="0059295F" w:rsidRPr="002C68F0">
        <w:t xml:space="preserve"> decision to which objection is made; </w:t>
      </w:r>
    </w:p>
    <w:p w:rsidR="00A71706" w:rsidRPr="002C68F0" w:rsidRDefault="00A71706" w:rsidP="00A71706">
      <w:pPr>
        <w:pStyle w:val="Default"/>
        <w:ind w:left="1440" w:firstLine="720"/>
      </w:pPr>
    </w:p>
    <w:p w:rsidR="00A71706" w:rsidRPr="002C68F0" w:rsidRDefault="00A71706" w:rsidP="00A71706">
      <w:pPr>
        <w:pStyle w:val="Default"/>
        <w:ind w:left="2880" w:hanging="720"/>
      </w:pPr>
      <w:r w:rsidRPr="002C68F0">
        <w:t>C)</w:t>
      </w:r>
      <w:r w:rsidRPr="002C68F0">
        <w:tab/>
      </w:r>
      <w:r w:rsidR="0059295F" w:rsidRPr="002C68F0">
        <w:t xml:space="preserve">designate by precise citation of page the portions of the record relied on; and </w:t>
      </w:r>
    </w:p>
    <w:p w:rsidR="0015748A" w:rsidRPr="002C68F0" w:rsidRDefault="0015748A" w:rsidP="00A71706">
      <w:pPr>
        <w:pStyle w:val="Default"/>
        <w:ind w:left="2880" w:hanging="720"/>
      </w:pPr>
    </w:p>
    <w:p w:rsidR="00A71706" w:rsidRPr="002C68F0" w:rsidRDefault="00A71706" w:rsidP="00A71706">
      <w:pPr>
        <w:pStyle w:val="Default"/>
        <w:ind w:left="2880" w:hanging="720"/>
      </w:pPr>
      <w:r w:rsidRPr="002C68F0">
        <w:t>D)</w:t>
      </w:r>
      <w:r w:rsidRPr="002C68F0">
        <w:tab/>
      </w:r>
      <w:r w:rsidR="0059295F" w:rsidRPr="002C68F0">
        <w:t>concisely state the grounds for the exception.</w:t>
      </w:r>
    </w:p>
    <w:p w:rsidR="00A71706" w:rsidRPr="002C68F0" w:rsidRDefault="00A71706" w:rsidP="00A71706">
      <w:pPr>
        <w:pStyle w:val="Default"/>
        <w:ind w:left="2880" w:hanging="720"/>
      </w:pPr>
    </w:p>
    <w:p w:rsidR="0059295F" w:rsidRPr="002C68F0" w:rsidRDefault="00A71706" w:rsidP="00A71706">
      <w:pPr>
        <w:pStyle w:val="Default"/>
        <w:ind w:left="2160" w:hanging="720"/>
      </w:pPr>
      <w:r w:rsidRPr="002C68F0">
        <w:lastRenderedPageBreak/>
        <w:t>2)</w:t>
      </w:r>
      <w:r w:rsidRPr="002C68F0">
        <w:tab/>
      </w:r>
      <w:r w:rsidR="0059295F" w:rsidRPr="002C68F0">
        <w:t>If a supporting brief is filed, the exceptions document shall not contain any argument or citation of authority in support of the exceptions</w:t>
      </w:r>
      <w:r w:rsidRPr="002C68F0">
        <w:t>. Those</w:t>
      </w:r>
      <w:r w:rsidR="0059295F" w:rsidRPr="002C68F0">
        <w:t xml:space="preserve"> matters shall be set forth only in the brief. If no supporting brief is filed</w:t>
      </w:r>
      <w:r w:rsidRPr="002C68F0">
        <w:t>,</w:t>
      </w:r>
      <w:r w:rsidR="0059295F" w:rsidRPr="002C68F0">
        <w:t xml:space="preserve"> the exceptions document shall also include the citation of authorities and argument in support of the exceptions, in which event the exceptions document shall be subject to a 25 page limit.  If a supporting brief is filed, it shall be subject to a 20 page limit.</w:t>
      </w:r>
    </w:p>
    <w:p w:rsidR="0059295F" w:rsidRPr="002C68F0" w:rsidRDefault="0059295F" w:rsidP="0059295F">
      <w:pPr>
        <w:pStyle w:val="Default"/>
        <w:ind w:left="1440"/>
      </w:pPr>
    </w:p>
    <w:p w:rsidR="0059295F" w:rsidRPr="002C68F0" w:rsidRDefault="0059295F" w:rsidP="0059295F">
      <w:pPr>
        <w:pStyle w:val="Default"/>
        <w:ind w:left="1440" w:hanging="720"/>
      </w:pPr>
      <w:r w:rsidRPr="002C68F0">
        <w:t>d)</w:t>
      </w:r>
      <w:r w:rsidRPr="002C68F0">
        <w:tab/>
        <w:t xml:space="preserve">Any exception to a ruling, finding, conclusion or recommendation </w:t>
      </w:r>
      <w:r w:rsidR="008124F2" w:rsidRPr="002C68F0">
        <w:t xml:space="preserve">that </w:t>
      </w:r>
      <w:r w:rsidRPr="002C68F0">
        <w:t xml:space="preserve">is not specifically </w:t>
      </w:r>
      <w:r w:rsidR="00122E48" w:rsidRPr="002C68F0">
        <w:t xml:space="preserve">stated </w:t>
      </w:r>
      <w:r w:rsidRPr="002C68F0">
        <w:t xml:space="preserve">shall be deemed to have been waived. Any exception </w:t>
      </w:r>
      <w:r w:rsidR="008124F2" w:rsidRPr="002C68F0">
        <w:t xml:space="preserve">that </w:t>
      </w:r>
      <w:r w:rsidRPr="002C68F0">
        <w:t xml:space="preserve">fails to comply with </w:t>
      </w:r>
      <w:r w:rsidR="00341819">
        <w:t xml:space="preserve">subsection (c) </w:t>
      </w:r>
      <w:r w:rsidRPr="002C68F0">
        <w:t xml:space="preserve">may be disregarded. Any brief in support of exceptions shall </w:t>
      </w:r>
      <w:r w:rsidR="00122E48" w:rsidRPr="002C68F0">
        <w:t xml:space="preserve">not refer to any matter </w:t>
      </w:r>
      <w:r w:rsidRPr="002C68F0">
        <w:t xml:space="preserve">not included within the scope of the exceptions and shall contain, in the order indicated, the following: </w:t>
      </w:r>
    </w:p>
    <w:p w:rsidR="0059295F" w:rsidRPr="002C68F0" w:rsidRDefault="0059295F" w:rsidP="0059295F">
      <w:pPr>
        <w:pStyle w:val="Default"/>
        <w:ind w:left="1440"/>
      </w:pPr>
    </w:p>
    <w:p w:rsidR="0059295F" w:rsidRPr="002C68F0" w:rsidRDefault="0059295F" w:rsidP="0059295F">
      <w:pPr>
        <w:pStyle w:val="Default"/>
        <w:ind w:left="2160" w:hanging="720"/>
      </w:pPr>
      <w:r w:rsidRPr="002C68F0">
        <w:t>1)</w:t>
      </w:r>
      <w:r w:rsidRPr="002C68F0">
        <w:tab/>
        <w:t>A clear and concise statement of the case</w:t>
      </w:r>
      <w:r w:rsidR="008124F2" w:rsidRPr="002C68F0">
        <w:t>,</w:t>
      </w:r>
      <w:r w:rsidRPr="002C68F0">
        <w:t xml:space="preserve"> containing all that is material to the consideration of the questions presented. </w:t>
      </w:r>
    </w:p>
    <w:p w:rsidR="0059295F" w:rsidRPr="002C68F0" w:rsidRDefault="0059295F" w:rsidP="00327B3B">
      <w:pPr>
        <w:widowControl w:val="0"/>
        <w:autoSpaceDE w:val="0"/>
        <w:autoSpaceDN w:val="0"/>
        <w:adjustRightInd w:val="0"/>
      </w:pPr>
    </w:p>
    <w:p w:rsidR="0059295F" w:rsidRPr="002C68F0" w:rsidRDefault="0059295F" w:rsidP="0059295F">
      <w:pPr>
        <w:pStyle w:val="Default"/>
        <w:ind w:left="2160" w:hanging="720"/>
      </w:pPr>
      <w:r w:rsidRPr="002C68F0">
        <w:t>2)</w:t>
      </w:r>
      <w:r w:rsidRPr="002C68F0">
        <w:tab/>
        <w:t xml:space="preserve">A specification of the questions involved and to be argued, together with a reference to the specific exceptions to which they relate. </w:t>
      </w:r>
    </w:p>
    <w:p w:rsidR="0059295F" w:rsidRPr="002C68F0" w:rsidRDefault="0059295F" w:rsidP="0059295F">
      <w:pPr>
        <w:pStyle w:val="Default"/>
        <w:ind w:left="2880" w:hanging="720"/>
      </w:pPr>
    </w:p>
    <w:p w:rsidR="0059295F" w:rsidRPr="002C68F0" w:rsidRDefault="0059295F" w:rsidP="0059295F">
      <w:pPr>
        <w:pStyle w:val="Default"/>
        <w:ind w:left="2160" w:hanging="720"/>
      </w:pPr>
      <w:r w:rsidRPr="002C68F0">
        <w:t>3)</w:t>
      </w:r>
      <w:r w:rsidRPr="002C68F0">
        <w:tab/>
        <w:t xml:space="preserve">The argument, presenting clearly the points of fact and law relied on in support of the position taken on each question, with specific page reference to the record and the legal or other material relied on. </w:t>
      </w:r>
    </w:p>
    <w:p w:rsidR="0059295F" w:rsidRPr="002C68F0" w:rsidRDefault="0059295F" w:rsidP="0059295F">
      <w:pPr>
        <w:pStyle w:val="Default"/>
        <w:ind w:left="1440"/>
      </w:pPr>
    </w:p>
    <w:p w:rsidR="0059295F" w:rsidRPr="002C68F0" w:rsidRDefault="0059295F" w:rsidP="0059295F">
      <w:pPr>
        <w:pStyle w:val="Default"/>
        <w:ind w:left="1434" w:hanging="624"/>
      </w:pPr>
      <w:r w:rsidRPr="002C68F0">
        <w:t>e)</w:t>
      </w:r>
      <w:r w:rsidRPr="002C68F0">
        <w:tab/>
        <w:t>Within 10 days, or such further period as the Director may allow, from the last date on which exceptions and any supporting brief may be filed, a party opposing the exceptions may file an answering brief to the exceptions, in accordance with this</w:t>
      </w:r>
      <w:r w:rsidR="008124F2" w:rsidRPr="002C68F0">
        <w:t xml:space="preserve"> subsection</w:t>
      </w:r>
      <w:r w:rsidRPr="002C68F0">
        <w:t>.  The answering brief to the exceptions shall be limited to the questions raised in the exceptions and in the brief in support</w:t>
      </w:r>
      <w:r w:rsidR="008124F2" w:rsidRPr="002C68F0">
        <w:t xml:space="preserve"> of the exceptions</w:t>
      </w:r>
      <w:r w:rsidRPr="002C68F0">
        <w:t>. It shall present clearly the points of fact and law relied on in support of the position taken on each question. Whe</w:t>
      </w:r>
      <w:r w:rsidR="008124F2" w:rsidRPr="002C68F0">
        <w:t>n</w:t>
      </w:r>
      <w:r w:rsidRPr="002C68F0">
        <w:t xml:space="preserve"> exception has been taken to a factual finding of the </w:t>
      </w:r>
      <w:r w:rsidR="00E131E0" w:rsidRPr="002C68F0">
        <w:t>ALJ</w:t>
      </w:r>
      <w:r w:rsidRPr="002C68F0">
        <w:t xml:space="preserve"> and </w:t>
      </w:r>
      <w:r w:rsidR="008124F2" w:rsidRPr="002C68F0">
        <w:t>the exception</w:t>
      </w:r>
      <w:r w:rsidRPr="002C68F0">
        <w:t xml:space="preserve"> is proposed to support that finding, the answering brief should specify those pages of the record</w:t>
      </w:r>
      <w:r w:rsidR="008124F2" w:rsidRPr="002C68F0">
        <w:t xml:space="preserve"> that</w:t>
      </w:r>
      <w:r w:rsidRPr="002C68F0">
        <w:t xml:space="preserve">, in the view of the party filing the brief, support the </w:t>
      </w:r>
      <w:r w:rsidR="00EF79C9" w:rsidRPr="002C68F0">
        <w:t>ALJ's</w:t>
      </w:r>
      <w:r w:rsidRPr="002C68F0">
        <w:t xml:space="preserve"> finding. The answering brief shall be </w:t>
      </w:r>
      <w:r w:rsidR="008124F2" w:rsidRPr="002C68F0">
        <w:t xml:space="preserve">limited to </w:t>
      </w:r>
      <w:r w:rsidRPr="002C68F0">
        <w:t>20 page</w:t>
      </w:r>
      <w:r w:rsidR="008124F2" w:rsidRPr="002C68F0">
        <w:t>s</w:t>
      </w:r>
      <w:r w:rsidRPr="002C68F0">
        <w:t>.</w:t>
      </w:r>
    </w:p>
    <w:p w:rsidR="0059295F" w:rsidRPr="002C68F0" w:rsidRDefault="0059295F" w:rsidP="0059295F">
      <w:pPr>
        <w:pStyle w:val="Default"/>
      </w:pPr>
    </w:p>
    <w:p w:rsidR="0059295F" w:rsidRPr="002C68F0" w:rsidRDefault="0059295F" w:rsidP="0059295F">
      <w:pPr>
        <w:pStyle w:val="ListParagraph"/>
        <w:ind w:left="1434" w:hanging="624"/>
      </w:pPr>
      <w:r w:rsidRPr="002C68F0">
        <w:t>f)</w:t>
      </w:r>
      <w:r w:rsidRPr="002C68F0">
        <w:tab/>
        <w:t xml:space="preserve">Requests for extension of time to file an answering brief to the exceptions shall be in writing and copies shall be served promptly on the other parties.   </w:t>
      </w:r>
    </w:p>
    <w:p w:rsidR="0059295F" w:rsidRPr="002C68F0" w:rsidRDefault="0059295F" w:rsidP="0059295F">
      <w:pPr>
        <w:pStyle w:val="Default"/>
        <w:ind w:left="1440"/>
      </w:pPr>
    </w:p>
    <w:p w:rsidR="0059295F" w:rsidRPr="002C68F0" w:rsidRDefault="0059295F" w:rsidP="0059295F">
      <w:pPr>
        <w:pStyle w:val="Default"/>
        <w:ind w:left="1434" w:hanging="624"/>
      </w:pPr>
      <w:r w:rsidRPr="002C68F0">
        <w:t>g)</w:t>
      </w:r>
      <w:r w:rsidRPr="002C68F0">
        <w:tab/>
      </w:r>
      <w:r w:rsidR="00CB4BCB" w:rsidRPr="002C68F0">
        <w:t>Any</w:t>
      </w:r>
      <w:r w:rsidRPr="002C68F0">
        <w:t xml:space="preserve"> matter not included in </w:t>
      </w:r>
      <w:r w:rsidR="00CB4BCB" w:rsidRPr="002C68F0">
        <w:t xml:space="preserve">the </w:t>
      </w:r>
      <w:r w:rsidRPr="002C68F0">
        <w:t xml:space="preserve">exceptions may </w:t>
      </w:r>
      <w:r w:rsidR="00CB4BCB" w:rsidRPr="002C68F0">
        <w:t xml:space="preserve">not </w:t>
      </w:r>
      <w:r w:rsidRPr="002C68F0">
        <w:t>thereafter be</w:t>
      </w:r>
      <w:r w:rsidR="00CB4BCB" w:rsidRPr="002C68F0">
        <w:t xml:space="preserve"> raised to</w:t>
      </w:r>
      <w:r w:rsidRPr="002C68F0">
        <w:t xml:space="preserve"> the Director or in any further proceeding</w:t>
      </w:r>
      <w:r w:rsidR="003E160F" w:rsidRPr="002C68F0">
        <w:t xml:space="preserve"> and is deemed waived for all purposes.</w:t>
      </w:r>
    </w:p>
    <w:p w:rsidR="0059295F" w:rsidRPr="007379CA" w:rsidRDefault="0059295F" w:rsidP="007379CA">
      <w:pPr>
        <w:ind w:left="720"/>
      </w:pPr>
    </w:p>
    <w:p w:rsidR="0059295F" w:rsidRPr="007379CA" w:rsidRDefault="0059295F" w:rsidP="007379CA">
      <w:pPr>
        <w:ind w:left="720"/>
      </w:pPr>
      <w:r w:rsidRPr="007379CA">
        <w:t>(Source:  Amended at 3</w:t>
      </w:r>
      <w:r w:rsidR="008124F2" w:rsidRPr="007379CA">
        <w:t>8</w:t>
      </w:r>
      <w:r w:rsidRPr="007379CA">
        <w:t xml:space="preserve"> Ill. Reg. </w:t>
      </w:r>
      <w:r w:rsidR="007B6989">
        <w:t>17631</w:t>
      </w:r>
      <w:r w:rsidRPr="007379CA">
        <w:t xml:space="preserve">, effective </w:t>
      </w:r>
      <w:bookmarkStart w:id="0" w:name="_GoBack"/>
      <w:r w:rsidR="007B6989">
        <w:t>August 15, 2014</w:t>
      </w:r>
      <w:bookmarkEnd w:id="0"/>
      <w:r w:rsidRPr="007379CA">
        <w:t>)</w:t>
      </w:r>
    </w:p>
    <w:sectPr w:rsidR="0059295F" w:rsidRPr="007379CA" w:rsidSect="00327B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56510"/>
    <w:multiLevelType w:val="hybridMultilevel"/>
    <w:tmpl w:val="5FF80A10"/>
    <w:lvl w:ilvl="0" w:tplc="A17EE1E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74104F4E"/>
    <w:multiLevelType w:val="hybridMultilevel"/>
    <w:tmpl w:val="228CC598"/>
    <w:lvl w:ilvl="0" w:tplc="CBA4F332">
      <w:start w:val="1"/>
      <w:numFmt w:val="lowerLetter"/>
      <w:lvlText w:val="%1)"/>
      <w:lvlJc w:val="left"/>
      <w:pPr>
        <w:ind w:left="1170" w:hanging="360"/>
      </w:pPr>
      <w:rPr>
        <w:rFonts w:hint="default"/>
        <w:u w:val="single"/>
      </w:rPr>
    </w:lvl>
    <w:lvl w:ilvl="1" w:tplc="04090019">
      <w:start w:val="1"/>
      <w:numFmt w:val="lowerLetter"/>
      <w:lvlText w:val="%2."/>
      <w:lvlJc w:val="left"/>
      <w:pPr>
        <w:ind w:left="153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7B3B"/>
    <w:rsid w:val="00122E48"/>
    <w:rsid w:val="00144A7F"/>
    <w:rsid w:val="0015748A"/>
    <w:rsid w:val="001D5DC3"/>
    <w:rsid w:val="002209D1"/>
    <w:rsid w:val="002C68F0"/>
    <w:rsid w:val="002F7E48"/>
    <w:rsid w:val="00327B3B"/>
    <w:rsid w:val="00341819"/>
    <w:rsid w:val="003E160F"/>
    <w:rsid w:val="00421335"/>
    <w:rsid w:val="004A6FDF"/>
    <w:rsid w:val="0059295F"/>
    <w:rsid w:val="005C3366"/>
    <w:rsid w:val="006402B4"/>
    <w:rsid w:val="006C5099"/>
    <w:rsid w:val="006D2C6A"/>
    <w:rsid w:val="00715199"/>
    <w:rsid w:val="007379CA"/>
    <w:rsid w:val="007959EC"/>
    <w:rsid w:val="007B6989"/>
    <w:rsid w:val="008124F2"/>
    <w:rsid w:val="00813AE6"/>
    <w:rsid w:val="00882C47"/>
    <w:rsid w:val="008F7621"/>
    <w:rsid w:val="00907A8E"/>
    <w:rsid w:val="00A2141F"/>
    <w:rsid w:val="00A71706"/>
    <w:rsid w:val="00A82719"/>
    <w:rsid w:val="00BA169E"/>
    <w:rsid w:val="00C23780"/>
    <w:rsid w:val="00C9764C"/>
    <w:rsid w:val="00CB4BCB"/>
    <w:rsid w:val="00D45E97"/>
    <w:rsid w:val="00D85F78"/>
    <w:rsid w:val="00DB5699"/>
    <w:rsid w:val="00E131E0"/>
    <w:rsid w:val="00E321D6"/>
    <w:rsid w:val="00ED49FE"/>
    <w:rsid w:val="00ED6264"/>
    <w:rsid w:val="00EF79C9"/>
    <w:rsid w:val="00F64DE5"/>
    <w:rsid w:val="00FC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8750B19-3E7D-4E96-AD8A-6B0E5944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959EC"/>
  </w:style>
  <w:style w:type="paragraph" w:customStyle="1" w:styleId="Default">
    <w:name w:val="Default"/>
    <w:rsid w:val="0059295F"/>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592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dcterms:created xsi:type="dcterms:W3CDTF">2014-07-29T18:49:00Z</dcterms:created>
  <dcterms:modified xsi:type="dcterms:W3CDTF">2014-08-15T21:54:00Z</dcterms:modified>
</cp:coreProperties>
</file>