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DF" w:rsidRDefault="00250EDF" w:rsidP="00250E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EDF" w:rsidRDefault="00250EDF" w:rsidP="00250ED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210.930  Application of the Rules of Evidence </w:t>
      </w:r>
      <w:r w:rsidR="008A2778">
        <w:rPr>
          <w:b/>
          <w:bCs/>
        </w:rPr>
        <w:t>–</w:t>
      </w:r>
      <w:r>
        <w:rPr>
          <w:b/>
          <w:bCs/>
        </w:rPr>
        <w:t>Pleadings and Procedures in an Investigative Conference</w:t>
      </w:r>
      <w:r>
        <w:t xml:space="preserve"> </w:t>
      </w:r>
    </w:p>
    <w:p w:rsidR="00250EDF" w:rsidRDefault="00250EDF" w:rsidP="00250EDF">
      <w:pPr>
        <w:widowControl w:val="0"/>
        <w:autoSpaceDE w:val="0"/>
        <w:autoSpaceDN w:val="0"/>
        <w:adjustRightInd w:val="0"/>
      </w:pPr>
    </w:p>
    <w:p w:rsidR="00250EDF" w:rsidRDefault="00250EDF" w:rsidP="00250EDF">
      <w:pPr>
        <w:widowControl w:val="0"/>
        <w:autoSpaceDE w:val="0"/>
        <w:autoSpaceDN w:val="0"/>
        <w:adjustRightInd w:val="0"/>
      </w:pPr>
      <w:r>
        <w:t xml:space="preserve">When a duly authorized representative of the Director conducts an informal investigative conference, she/he is not bound by the rules of evidence or by any technical or formal rules of pleading or procedure. </w:t>
      </w:r>
    </w:p>
    <w:sectPr w:rsidR="00250EDF" w:rsidSect="00250E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EDF"/>
    <w:rsid w:val="000374BF"/>
    <w:rsid w:val="00250EDF"/>
    <w:rsid w:val="004C756D"/>
    <w:rsid w:val="005C3366"/>
    <w:rsid w:val="008A2778"/>
    <w:rsid w:val="00C4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