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88" w:rsidRDefault="007F3888" w:rsidP="007F38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3888" w:rsidRDefault="007F3888" w:rsidP="007F38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300.1010  Issuance of Administrative Subpoena</w:t>
      </w:r>
      <w:r>
        <w:t xml:space="preserve"> </w:t>
      </w:r>
    </w:p>
    <w:p w:rsidR="007F3888" w:rsidRDefault="007F3888" w:rsidP="007F3888">
      <w:pPr>
        <w:widowControl w:val="0"/>
        <w:autoSpaceDE w:val="0"/>
        <w:autoSpaceDN w:val="0"/>
        <w:adjustRightInd w:val="0"/>
      </w:pPr>
    </w:p>
    <w:p w:rsidR="007F3888" w:rsidRDefault="007F3888" w:rsidP="007F3888">
      <w:pPr>
        <w:widowControl w:val="0"/>
        <w:autoSpaceDE w:val="0"/>
        <w:autoSpaceDN w:val="0"/>
        <w:adjustRightInd w:val="0"/>
      </w:pPr>
      <w:r>
        <w:t xml:space="preserve">The Department may issue an administrative subpoena to compel the attendance of a witness and/or the production of documents upon the Department's determination that the information to be produced by a subpoena is necessary and relevant to the Department's investigation, and that the Department cannot obtain the information by any other reasonable means. </w:t>
      </w:r>
    </w:p>
    <w:p w:rsidR="007F3888" w:rsidRDefault="007F3888" w:rsidP="007F3888">
      <w:pPr>
        <w:widowControl w:val="0"/>
        <w:autoSpaceDE w:val="0"/>
        <w:autoSpaceDN w:val="0"/>
        <w:adjustRightInd w:val="0"/>
      </w:pPr>
    </w:p>
    <w:p w:rsidR="007F3888" w:rsidRDefault="007F3888" w:rsidP="007F388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13828, effective September 1, 1992) </w:t>
      </w:r>
    </w:p>
    <w:sectPr w:rsidR="007F3888" w:rsidSect="007F38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3888"/>
    <w:rsid w:val="00312DF9"/>
    <w:rsid w:val="00400024"/>
    <w:rsid w:val="005C3366"/>
    <w:rsid w:val="007F3888"/>
    <w:rsid w:val="009B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