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56" w:rsidRDefault="00EB0D56" w:rsidP="00160691"/>
    <w:p w:rsidR="00262871" w:rsidRPr="00EB0D56" w:rsidRDefault="00262871" w:rsidP="00160691">
      <w:pPr>
        <w:rPr>
          <w:b/>
          <w:szCs w:val="20"/>
        </w:rPr>
      </w:pPr>
      <w:r w:rsidRPr="00EB0D56">
        <w:rPr>
          <w:b/>
        </w:rPr>
        <w:t>Section 325.210  IDHR</w:t>
      </w:r>
      <w:r w:rsidR="00EB0D56">
        <w:rPr>
          <w:b/>
        </w:rPr>
        <w:t>'</w:t>
      </w:r>
      <w:r w:rsidRPr="00EB0D56">
        <w:rPr>
          <w:b/>
        </w:rPr>
        <w:t>s Acceptance of the EPA Referred Complaint</w:t>
      </w:r>
    </w:p>
    <w:p w:rsidR="00262871" w:rsidRPr="00262871" w:rsidRDefault="00262871" w:rsidP="00160691"/>
    <w:p w:rsidR="00262871" w:rsidRPr="00262871" w:rsidRDefault="00EB0D56" w:rsidP="00160691">
      <w:pPr>
        <w:ind w:left="1440" w:hanging="720"/>
      </w:pPr>
      <w:r>
        <w:t>a)</w:t>
      </w:r>
      <w:r>
        <w:tab/>
      </w:r>
      <w:r w:rsidR="00262871" w:rsidRPr="00262871">
        <w:t xml:space="preserve">After IDHR accepts the EPA Referred Complaint from IDOL, IDHR will formalize an IDHR Charge of Discrimination for the EPA Complainant to sign and notarize, pursuant to </w:t>
      </w:r>
      <w:r w:rsidR="00990408">
        <w:t>IDHR's 56 Ill. Adm. Code</w:t>
      </w:r>
      <w:r w:rsidR="00262871" w:rsidRPr="00262871">
        <w:t xml:space="preserve"> 2520.330.  </w:t>
      </w:r>
    </w:p>
    <w:p w:rsidR="00262871" w:rsidRPr="00262871" w:rsidRDefault="00262871" w:rsidP="00160691"/>
    <w:p w:rsidR="00262871" w:rsidRPr="00262871" w:rsidRDefault="00EB0D56" w:rsidP="00160691">
      <w:pPr>
        <w:ind w:left="1440" w:hanging="720"/>
      </w:pPr>
      <w:r>
        <w:t>b)</w:t>
      </w:r>
      <w:r>
        <w:tab/>
      </w:r>
      <w:r w:rsidR="00262871" w:rsidRPr="00262871">
        <w:t>If the EPA Complainant fails to sign and notarize the IDHR Charge of Discrimination or otherwise cooperate with IDHR, IDHR may dismiss the charge for the EPA Complainant</w:t>
      </w:r>
      <w:r>
        <w:t>'</w:t>
      </w:r>
      <w:r w:rsidR="00262871" w:rsidRPr="00262871">
        <w:t>s failure to cooperate.</w:t>
      </w:r>
    </w:p>
    <w:p w:rsidR="00262871" w:rsidRPr="00262871" w:rsidRDefault="00262871" w:rsidP="00160691"/>
    <w:p w:rsidR="00262871" w:rsidRDefault="00EB0D56" w:rsidP="00160691">
      <w:pPr>
        <w:ind w:left="1440" w:hanging="720"/>
      </w:pPr>
      <w:r>
        <w:t>c)</w:t>
      </w:r>
      <w:r>
        <w:tab/>
      </w:r>
      <w:r w:rsidR="00262871" w:rsidRPr="00262871">
        <w:t>Dismissal of the IDHR Charge of Discrimination for the EPA Complainant</w:t>
      </w:r>
      <w:r>
        <w:t>'</w:t>
      </w:r>
      <w:r w:rsidR="00262871" w:rsidRPr="00262871">
        <w:t xml:space="preserve">s </w:t>
      </w:r>
      <w:bookmarkStart w:id="0" w:name="_GoBack"/>
      <w:bookmarkEnd w:id="0"/>
      <w:r w:rsidR="00262871" w:rsidRPr="00262871">
        <w:t>failure to cooperate will also constitute a dismissal of the EPA Complaint.</w:t>
      </w:r>
    </w:p>
    <w:sectPr w:rsidR="002628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871" w:rsidRDefault="00262871">
      <w:r>
        <w:separator/>
      </w:r>
    </w:p>
  </w:endnote>
  <w:endnote w:type="continuationSeparator" w:id="0">
    <w:p w:rsidR="00262871" w:rsidRDefault="0026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871" w:rsidRDefault="00262871">
      <w:r>
        <w:separator/>
      </w:r>
    </w:p>
  </w:footnote>
  <w:footnote w:type="continuationSeparator" w:id="0">
    <w:p w:rsidR="00262871" w:rsidRDefault="0026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6687B"/>
    <w:multiLevelType w:val="hybridMultilevel"/>
    <w:tmpl w:val="84CCE9AC"/>
    <w:lvl w:ilvl="0" w:tplc="8F04210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691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2871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408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D56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DB358-A6BD-428F-86C6-8FE5F860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2871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527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4</cp:revision>
  <dcterms:created xsi:type="dcterms:W3CDTF">2015-05-27T14:49:00Z</dcterms:created>
  <dcterms:modified xsi:type="dcterms:W3CDTF">2015-06-30T21:35:00Z</dcterms:modified>
</cp:coreProperties>
</file>