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8A" w:rsidRDefault="003C718A" w:rsidP="00D14D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DDE" w:rsidRDefault="00D14DDE" w:rsidP="00D14DDE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7A3B8B">
        <w:t>INJURY/ILLNESS RECORDKEEPING AND REPORTING REQUIREMENTS</w:t>
      </w:r>
    </w:p>
    <w:sectPr w:rsidR="00D14DDE" w:rsidSect="00D14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DDE"/>
    <w:rsid w:val="00324E56"/>
    <w:rsid w:val="003C718A"/>
    <w:rsid w:val="004B0B36"/>
    <w:rsid w:val="005C3366"/>
    <w:rsid w:val="007A3B8B"/>
    <w:rsid w:val="007E6D01"/>
    <w:rsid w:val="009530AF"/>
    <w:rsid w:val="00D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F02E91-9378-4D44-B1DB-C6DAC5F2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RECORDS OF INJURIES AND ILLNESSES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RECORDS OF INJURIES AND ILLNESSES</dc:title>
  <dc:subject/>
  <dc:creator>Illinois General Assembly</dc:creator>
  <cp:keywords/>
  <dc:description/>
  <cp:lastModifiedBy>Bockewitz, Crystal K.</cp:lastModifiedBy>
  <cp:revision>2</cp:revision>
  <dcterms:created xsi:type="dcterms:W3CDTF">2021-12-20T20:14:00Z</dcterms:created>
  <dcterms:modified xsi:type="dcterms:W3CDTF">2021-12-20T20:14:00Z</dcterms:modified>
</cp:coreProperties>
</file>