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321C" w14:textId="77777777" w:rsidR="008A6452" w:rsidRPr="008A6452" w:rsidRDefault="008A6452" w:rsidP="008A6452">
      <w:pPr>
        <w:rPr>
          <w:rFonts w:eastAsia="Calibri"/>
        </w:rPr>
      </w:pPr>
    </w:p>
    <w:p w14:paraId="5E1A5076" w14:textId="44E59557" w:rsidR="008A6452" w:rsidRDefault="008A6452" w:rsidP="008A6452">
      <w:pPr>
        <w:rPr>
          <w:b/>
        </w:rPr>
      </w:pPr>
      <w:r w:rsidRPr="008A6452">
        <w:rPr>
          <w:rFonts w:eastAsia="Calibri"/>
          <w:b/>
        </w:rPr>
        <w:t xml:space="preserve">Section </w:t>
      </w:r>
      <w:bookmarkStart w:id="0" w:name="wp1001758"/>
      <w:bookmarkStart w:id="1" w:name="wp998618"/>
      <w:bookmarkEnd w:id="0"/>
      <w:bookmarkEnd w:id="1"/>
      <w:r w:rsidRPr="008A6452">
        <w:rPr>
          <w:b/>
        </w:rPr>
        <w:t xml:space="preserve">350.300  Recording </w:t>
      </w:r>
      <w:r w:rsidR="00EC0299">
        <w:rPr>
          <w:b/>
        </w:rPr>
        <w:t>C</w:t>
      </w:r>
      <w:r w:rsidRPr="008A6452">
        <w:rPr>
          <w:b/>
        </w:rPr>
        <w:t xml:space="preserve">riteria for </w:t>
      </w:r>
      <w:r w:rsidR="00EC0299">
        <w:rPr>
          <w:b/>
        </w:rPr>
        <w:t>N</w:t>
      </w:r>
      <w:r w:rsidRPr="008A6452">
        <w:rPr>
          <w:b/>
        </w:rPr>
        <w:t xml:space="preserve">eedlestick and </w:t>
      </w:r>
      <w:r w:rsidR="00EC0299">
        <w:rPr>
          <w:b/>
        </w:rPr>
        <w:t>S</w:t>
      </w:r>
      <w:r w:rsidRPr="008A6452">
        <w:rPr>
          <w:b/>
        </w:rPr>
        <w:t xml:space="preserve">harps </w:t>
      </w:r>
      <w:r w:rsidR="00EC0299">
        <w:rPr>
          <w:b/>
        </w:rPr>
        <w:t>I</w:t>
      </w:r>
      <w:r w:rsidRPr="008A6452">
        <w:rPr>
          <w:b/>
        </w:rPr>
        <w:t xml:space="preserve">njuries </w:t>
      </w:r>
    </w:p>
    <w:p w14:paraId="328D951C" w14:textId="77777777" w:rsidR="008A6452" w:rsidRPr="008A6452" w:rsidRDefault="008A6452" w:rsidP="008A6452">
      <w:pPr>
        <w:rPr>
          <w:b/>
        </w:rPr>
      </w:pPr>
    </w:p>
    <w:p w14:paraId="7C9E2FA1" w14:textId="77777777" w:rsidR="00EC0299" w:rsidRDefault="008A6452" w:rsidP="008A6452">
      <w:pPr>
        <w:ind w:left="1440" w:hanging="720"/>
      </w:pPr>
      <w:bookmarkStart w:id="2" w:name="wp1001765"/>
      <w:bookmarkStart w:id="3" w:name="wp998619"/>
      <w:bookmarkStart w:id="4" w:name="wp1001766"/>
      <w:bookmarkEnd w:id="2"/>
      <w:bookmarkEnd w:id="3"/>
      <w:bookmarkEnd w:id="4"/>
      <w:r>
        <w:t>a)</w:t>
      </w:r>
      <w:r>
        <w:tab/>
      </w:r>
      <w:r w:rsidRPr="008A6452">
        <w:t xml:space="preserve">Basic </w:t>
      </w:r>
      <w:r w:rsidR="00F34261">
        <w:t>R</w:t>
      </w:r>
      <w:r w:rsidRPr="008A6452">
        <w:t>equirement</w:t>
      </w:r>
    </w:p>
    <w:p w14:paraId="5B96393C" w14:textId="77777777" w:rsidR="008A6452" w:rsidRDefault="00EC0299" w:rsidP="00EC0299">
      <w:pPr>
        <w:ind w:left="1440"/>
      </w:pPr>
      <w:r>
        <w:t>R</w:t>
      </w:r>
      <w:r w:rsidR="008A6452" w:rsidRPr="008A6452">
        <w:t xml:space="preserve">ecord all work-related needlestick injuries and cuts from sharp objects that are contaminated with another person's blood or other potentially infectious material (as defined by 29 CFR 1910.1030). </w:t>
      </w:r>
      <w:r w:rsidR="00F34261">
        <w:t>E</w:t>
      </w:r>
      <w:r w:rsidR="008A6452" w:rsidRPr="008A6452">
        <w:t xml:space="preserve">nter the case on the OSHA 300 Log as an injury. To protect the employee's privacy, </w:t>
      </w:r>
      <w:r w:rsidR="00F34261">
        <w:t xml:space="preserve">do </w:t>
      </w:r>
      <w:r w:rsidR="008A6452" w:rsidRPr="008A6452">
        <w:t xml:space="preserve">not enter the employee's name on the OSHA 300 Log (see the requirements for privacy cases in </w:t>
      </w:r>
      <w:r w:rsidR="00F34261">
        <w:t>Section</w:t>
      </w:r>
      <w:r w:rsidR="008A6452" w:rsidRPr="008A6452">
        <w:t xml:space="preserve"> 350.340(b)(6) through (b)(9)).</w:t>
      </w:r>
    </w:p>
    <w:p w14:paraId="2D1E957B" w14:textId="77777777" w:rsidR="008A6452" w:rsidRDefault="008A6452" w:rsidP="008A6452">
      <w:pPr>
        <w:ind w:left="1440" w:hanging="720"/>
      </w:pPr>
    </w:p>
    <w:p w14:paraId="09594BA1" w14:textId="77777777" w:rsidR="008A6452" w:rsidRDefault="008A6452" w:rsidP="008A6452">
      <w:pPr>
        <w:ind w:firstLine="720"/>
      </w:pPr>
      <w:bookmarkStart w:id="5" w:name="wp1001777"/>
      <w:bookmarkStart w:id="6" w:name="wp998620"/>
      <w:bookmarkEnd w:id="5"/>
      <w:bookmarkEnd w:id="6"/>
      <w:r>
        <w:t>b)</w:t>
      </w:r>
      <w:r>
        <w:tab/>
      </w:r>
      <w:r w:rsidRPr="008A6452">
        <w:t>Implementation</w:t>
      </w:r>
    </w:p>
    <w:p w14:paraId="41B71EF4" w14:textId="77777777" w:rsidR="008A6452" w:rsidRDefault="008A6452" w:rsidP="008A6452">
      <w:pPr>
        <w:ind w:firstLine="720"/>
      </w:pPr>
    </w:p>
    <w:p w14:paraId="292B4AB6" w14:textId="77777777" w:rsidR="008A6452" w:rsidRDefault="008A6452" w:rsidP="00EC0299">
      <w:pPr>
        <w:ind w:left="2160" w:hanging="720"/>
      </w:pPr>
      <w:bookmarkStart w:id="7" w:name="wp1001791"/>
      <w:bookmarkStart w:id="8" w:name="wp1001776"/>
      <w:bookmarkEnd w:id="7"/>
      <w:bookmarkEnd w:id="8"/>
      <w:r>
        <w:t>1)</w:t>
      </w:r>
      <w:r>
        <w:tab/>
      </w:r>
      <w:bookmarkStart w:id="9" w:name="wp1023666"/>
      <w:bookmarkEnd w:id="9"/>
      <w:r w:rsidR="00EC0299">
        <w:t>O</w:t>
      </w:r>
      <w:r w:rsidRPr="008A6452">
        <w:t>ther potentially infectious materials is defined in the Bloodborne Pathogens standard at 29 CFR1910.1030(b). These materials include:</w:t>
      </w:r>
    </w:p>
    <w:p w14:paraId="7CDDFA4F" w14:textId="77777777" w:rsidR="008A6452" w:rsidRPr="00EC0299" w:rsidRDefault="008A6452" w:rsidP="00EC0299"/>
    <w:p w14:paraId="6AD8B2DD" w14:textId="77777777" w:rsidR="008A6452" w:rsidRPr="00EC0299" w:rsidRDefault="00EC0299" w:rsidP="00EC0299">
      <w:pPr>
        <w:ind w:left="1440" w:firstLine="720"/>
      </w:pPr>
      <w:bookmarkStart w:id="10" w:name="wp1023672"/>
      <w:bookmarkStart w:id="11" w:name="wp998621"/>
      <w:bookmarkEnd w:id="10"/>
      <w:bookmarkEnd w:id="11"/>
      <w:r>
        <w:t>A)</w:t>
      </w:r>
      <w:r>
        <w:tab/>
      </w:r>
      <w:r w:rsidR="008A6452" w:rsidRPr="00EC0299">
        <w:t>Human bodily fluids, tissues and organs</w:t>
      </w:r>
      <w:r>
        <w:t>;</w:t>
      </w:r>
      <w:r w:rsidR="008A6452" w:rsidRPr="00EC0299">
        <w:t xml:space="preserve"> and</w:t>
      </w:r>
    </w:p>
    <w:p w14:paraId="1652C664" w14:textId="77777777" w:rsidR="008A6452" w:rsidRPr="00EC0299" w:rsidRDefault="008A6452" w:rsidP="00EC0299"/>
    <w:p w14:paraId="0091B8C8" w14:textId="77777777" w:rsidR="008A6452" w:rsidRPr="00EC0299" w:rsidRDefault="00EC0299" w:rsidP="00EC0299">
      <w:pPr>
        <w:ind w:left="2880" w:hanging="720"/>
      </w:pPr>
      <w:bookmarkStart w:id="12" w:name="wp1053182"/>
      <w:bookmarkStart w:id="13" w:name="wp1053177"/>
      <w:bookmarkStart w:id="14" w:name="wp1053178"/>
      <w:bookmarkEnd w:id="12"/>
      <w:bookmarkEnd w:id="13"/>
      <w:bookmarkEnd w:id="14"/>
      <w:r>
        <w:t>B)</w:t>
      </w:r>
      <w:r>
        <w:tab/>
      </w:r>
      <w:r w:rsidR="008A6452" w:rsidRPr="00EC0299">
        <w:t>Other materials infected with the HIV or hepatitis B virus</w:t>
      </w:r>
      <w:r>
        <w:t>,</w:t>
      </w:r>
      <w:r w:rsidR="008A6452" w:rsidRPr="00EC0299">
        <w:t xml:space="preserve"> such as laboratory cultures or tissues from experimental animals.</w:t>
      </w:r>
    </w:p>
    <w:p w14:paraId="716A8AF3" w14:textId="77777777" w:rsidR="008A6452" w:rsidRPr="00EC0299" w:rsidRDefault="008A6452" w:rsidP="00EC0299"/>
    <w:p w14:paraId="1F617242" w14:textId="77777777" w:rsidR="008A6452" w:rsidRPr="00EC0299" w:rsidRDefault="008A6452" w:rsidP="00EC0299">
      <w:pPr>
        <w:ind w:left="2160" w:hanging="720"/>
      </w:pPr>
      <w:bookmarkStart w:id="15" w:name="wp1001830"/>
      <w:bookmarkStart w:id="16" w:name="wp998623"/>
      <w:bookmarkEnd w:id="15"/>
      <w:bookmarkEnd w:id="16"/>
      <w:r w:rsidRPr="00EC0299">
        <w:t>2)</w:t>
      </w:r>
      <w:r w:rsidRPr="00EC0299">
        <w:tab/>
      </w:r>
      <w:bookmarkStart w:id="17" w:name="wp1023712"/>
      <w:bookmarkEnd w:id="17"/>
      <w:r w:rsidR="00EC0299">
        <w:t xml:space="preserve">All cuts, lacerations, punctures and scratches </w:t>
      </w:r>
      <w:r w:rsidRPr="00EC0299">
        <w:t xml:space="preserve">need to </w:t>
      </w:r>
      <w:r w:rsidR="00EC0299">
        <w:t xml:space="preserve">be recorded </w:t>
      </w:r>
      <w:r w:rsidRPr="00EC0299">
        <w:t xml:space="preserve">only if they are work-related and involve contamination with another person's blood or other potentially infectious material. If the cut, laceration or scratch involves a clean object, or a contaminant other than blood or other potentially infectious material record the case only if it meets one or more of the recording criteria in </w:t>
      </w:r>
      <w:r w:rsidR="00EC0299">
        <w:t xml:space="preserve">Section </w:t>
      </w:r>
      <w:r w:rsidRPr="00EC0299">
        <w:t>350.290.</w:t>
      </w:r>
    </w:p>
    <w:p w14:paraId="7869153B" w14:textId="77777777" w:rsidR="008A6452" w:rsidRPr="00EC0299" w:rsidRDefault="008A6452" w:rsidP="00EC0299"/>
    <w:p w14:paraId="72606EAB" w14:textId="77777777" w:rsidR="00EC0299" w:rsidRPr="00EC0299" w:rsidRDefault="008A6452" w:rsidP="00EC0299">
      <w:pPr>
        <w:ind w:left="2160" w:hanging="720"/>
      </w:pPr>
      <w:bookmarkStart w:id="18" w:name="wp1001841"/>
      <w:bookmarkStart w:id="19" w:name="wp998624"/>
      <w:bookmarkEnd w:id="18"/>
      <w:bookmarkEnd w:id="19"/>
      <w:r w:rsidRPr="00EC0299">
        <w:t>3)</w:t>
      </w:r>
      <w:r w:rsidRPr="00EC0299">
        <w:tab/>
        <w:t xml:space="preserve">If an injury </w:t>
      </w:r>
      <w:r w:rsidR="00EC0299">
        <w:t xml:space="preserve">is recorded </w:t>
      </w:r>
      <w:r w:rsidRPr="00EC0299">
        <w:t>and the employee is later diagnosed with an infectious bloodborne disease, update the OSHA 300 Log</w:t>
      </w:r>
      <w:r w:rsidR="00EC0299">
        <w:t>.</w:t>
      </w:r>
      <w:r w:rsidR="00EC0299" w:rsidRPr="00EC0299">
        <w:t xml:space="preserve"> </w:t>
      </w:r>
      <w:r w:rsidR="00EC0299">
        <w:t>T</w:t>
      </w:r>
      <w:r w:rsidR="00EC0299" w:rsidRPr="00EC0299">
        <w:t xml:space="preserve">he classification of the case on the OSHA 300 Log </w:t>
      </w:r>
      <w:r w:rsidR="00EC0299">
        <w:t xml:space="preserve">must be updated </w:t>
      </w:r>
      <w:r w:rsidR="00EC0299" w:rsidRPr="00EC0299">
        <w:t xml:space="preserve">if the case results in death, days away from work, restricted work or job transfer. </w:t>
      </w:r>
      <w:r w:rsidR="004F6876">
        <w:t>T</w:t>
      </w:r>
      <w:r w:rsidR="00EC0299" w:rsidRPr="00EC0299">
        <w:t xml:space="preserve">he description </w:t>
      </w:r>
      <w:r w:rsidR="004F6876">
        <w:t xml:space="preserve">must also be updated </w:t>
      </w:r>
      <w:r w:rsidR="00EC0299" w:rsidRPr="00EC0299">
        <w:t>to identify the infectious disease and change the classification of the case from an injury to an illness.</w:t>
      </w:r>
    </w:p>
    <w:p w14:paraId="7882883C" w14:textId="77777777" w:rsidR="008A6452" w:rsidRPr="004F6876" w:rsidRDefault="008A6452" w:rsidP="004F6876"/>
    <w:p w14:paraId="42B15836" w14:textId="77777777" w:rsidR="008A6452" w:rsidRPr="004F6876" w:rsidRDefault="008A6452" w:rsidP="004F6876">
      <w:pPr>
        <w:ind w:left="2160" w:hanging="720"/>
      </w:pPr>
      <w:bookmarkStart w:id="20" w:name="wp1023718"/>
      <w:bookmarkStart w:id="21" w:name="wp1001852"/>
      <w:bookmarkStart w:id="22" w:name="wp998625"/>
      <w:bookmarkEnd w:id="20"/>
      <w:bookmarkEnd w:id="21"/>
      <w:bookmarkEnd w:id="22"/>
      <w:r w:rsidRPr="004F6876">
        <w:t>4)</w:t>
      </w:r>
      <w:r w:rsidRPr="004F6876">
        <w:tab/>
      </w:r>
      <w:r w:rsidR="004F6876">
        <w:t>I</w:t>
      </w:r>
      <w:r w:rsidRPr="004F6876">
        <w:t xml:space="preserve">f </w:t>
      </w:r>
      <w:r w:rsidR="004F6876">
        <w:t xml:space="preserve">an employee </w:t>
      </w:r>
      <w:r w:rsidRPr="004F6876">
        <w:t xml:space="preserve">is splashed </w:t>
      </w:r>
      <w:r w:rsidR="004F6876">
        <w:t xml:space="preserve">with </w:t>
      </w:r>
      <w:r w:rsidRPr="004F6876">
        <w:t>or exposed to blood or other potentially infectious material without being cut or scratched</w:t>
      </w:r>
      <w:r w:rsidR="004F6876">
        <w:t>,</w:t>
      </w:r>
      <w:bookmarkStart w:id="23" w:name="wp1047916"/>
      <w:bookmarkEnd w:id="23"/>
      <w:r w:rsidR="004F6876">
        <w:t xml:space="preserve"> </w:t>
      </w:r>
      <w:r w:rsidRPr="004F6876">
        <w:t xml:space="preserve">record </w:t>
      </w:r>
      <w:r w:rsidR="004F6876">
        <w:t>the</w:t>
      </w:r>
      <w:r w:rsidRPr="004F6876">
        <w:t xml:space="preserve"> incident on the OSHA 300 Log as an illness if:</w:t>
      </w:r>
    </w:p>
    <w:p w14:paraId="2891F78B" w14:textId="77777777" w:rsidR="008A6452" w:rsidRPr="004F6876" w:rsidRDefault="008A6452" w:rsidP="004F6876"/>
    <w:p w14:paraId="02D266DE" w14:textId="77777777" w:rsidR="008A6452" w:rsidRPr="004F6876" w:rsidRDefault="004F6876" w:rsidP="004F6876">
      <w:pPr>
        <w:ind w:left="2880" w:hanging="720"/>
      </w:pPr>
      <w:r>
        <w:t>A)</w:t>
      </w:r>
      <w:r>
        <w:tab/>
      </w:r>
      <w:r w:rsidR="008A6452" w:rsidRPr="004F6876">
        <w:t>It results in the diagnosis of a bloodborne illness, such as HIV, hepatitis B, or hepatitis C; or</w:t>
      </w:r>
    </w:p>
    <w:p w14:paraId="5CC0FE2E" w14:textId="77777777" w:rsidR="008A6452" w:rsidRPr="004F6876" w:rsidRDefault="008A6452" w:rsidP="004F6876"/>
    <w:p w14:paraId="72E41901" w14:textId="77777777" w:rsidR="008A6452" w:rsidRPr="004F6876" w:rsidRDefault="004F6876" w:rsidP="004F6876">
      <w:pPr>
        <w:ind w:left="1440" w:firstLine="720"/>
      </w:pPr>
      <w:bookmarkStart w:id="24" w:name="wp1001874"/>
      <w:bookmarkStart w:id="25" w:name="wp998627"/>
      <w:bookmarkEnd w:id="24"/>
      <w:bookmarkEnd w:id="25"/>
      <w:r>
        <w:t>B)</w:t>
      </w:r>
      <w:r>
        <w:tab/>
      </w:r>
      <w:r w:rsidR="008A6452" w:rsidRPr="004F6876">
        <w:t xml:space="preserve">It meets one or more of the recording criteria in </w:t>
      </w:r>
      <w:r w:rsidR="00F34261">
        <w:t xml:space="preserve">Section </w:t>
      </w:r>
      <w:r w:rsidR="008A6452" w:rsidRPr="004F6876">
        <w:t xml:space="preserve">350.290. </w:t>
      </w:r>
    </w:p>
    <w:sectPr w:rsidR="008A6452" w:rsidRPr="004F68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F7B0" w14:textId="77777777" w:rsidR="00EC0299" w:rsidRDefault="00EC0299">
      <w:r>
        <w:separator/>
      </w:r>
    </w:p>
  </w:endnote>
  <w:endnote w:type="continuationSeparator" w:id="0">
    <w:p w14:paraId="35F26D36" w14:textId="77777777" w:rsidR="00EC0299" w:rsidRDefault="00EC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3A98" w14:textId="77777777" w:rsidR="00EC0299" w:rsidRDefault="00EC0299">
      <w:r>
        <w:separator/>
      </w:r>
    </w:p>
  </w:footnote>
  <w:footnote w:type="continuationSeparator" w:id="0">
    <w:p w14:paraId="573EBDE2" w14:textId="77777777" w:rsidR="00EC0299" w:rsidRDefault="00EC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0BA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B2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2B2A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6876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6452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1AE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029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261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B6C9D"/>
  <w15:docId w15:val="{D249C14B-1E80-4869-AF5B-08BF1DD3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Bockewitz, Crystal K.</cp:lastModifiedBy>
  <cp:revision>5</cp:revision>
  <dcterms:created xsi:type="dcterms:W3CDTF">2012-09-24T14:46:00Z</dcterms:created>
  <dcterms:modified xsi:type="dcterms:W3CDTF">2022-08-01T21:20:00Z</dcterms:modified>
</cp:coreProperties>
</file>