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9D" w:rsidRDefault="00846B9D" w:rsidP="00846B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6B9D" w:rsidRDefault="00846B9D" w:rsidP="00846B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2520.570  Default</w:t>
      </w:r>
      <w:r>
        <w:t xml:space="preserve"> </w:t>
      </w:r>
    </w:p>
    <w:p w:rsidR="00846B9D" w:rsidRDefault="00846B9D" w:rsidP="00846B9D">
      <w:pPr>
        <w:widowControl w:val="0"/>
        <w:autoSpaceDE w:val="0"/>
        <w:autoSpaceDN w:val="0"/>
        <w:adjustRightInd w:val="0"/>
      </w:pPr>
    </w:p>
    <w:p w:rsidR="00846B9D" w:rsidRDefault="00846B9D" w:rsidP="00846B9D">
      <w:pPr>
        <w:widowControl w:val="0"/>
        <w:autoSpaceDE w:val="0"/>
        <w:autoSpaceDN w:val="0"/>
        <w:adjustRightInd w:val="0"/>
      </w:pPr>
      <w:r>
        <w:t xml:space="preserve">Prior to the entry of a default against a respondent pursuant to </w:t>
      </w:r>
      <w:r w:rsidR="001F057C">
        <w:t>Section</w:t>
      </w:r>
      <w:r>
        <w:t xml:space="preserve"> 7A-102(B)</w:t>
      </w:r>
      <w:r w:rsidR="001F057C">
        <w:t>,</w:t>
      </w:r>
      <w:r>
        <w:t xml:space="preserve"> 7A-102(C)</w:t>
      </w:r>
      <w:r w:rsidR="00240619">
        <w:t>, 7B-102(B) or 7B-102(C)</w:t>
      </w:r>
      <w:r>
        <w:t xml:space="preserve"> of the Act and Section 2520.440(d) of this Part, the Department will afford that party written notice and a period of at least </w:t>
      </w:r>
      <w:r w:rsidR="001F057C">
        <w:t>15</w:t>
      </w:r>
      <w:r>
        <w:t xml:space="preserve"> days to show good cause in writing why default may not be appropriate. </w:t>
      </w:r>
      <w:r w:rsidR="00585EDE">
        <w:t>A Notice of Default shall be construed as a "report" pursuant to Section 7A-102(G) of the Act.</w:t>
      </w:r>
      <w:r w:rsidR="00240619">
        <w:t xml:space="preserve">  For charges filed on or after January 1, 2008, if the Department issues a Notice of Default, the Department will notify the respondent that the respondent has 30 days from service of the Notice of Default to file a Request for Review with the Human Rights Commission.</w:t>
      </w:r>
    </w:p>
    <w:p w:rsidR="00846B9D" w:rsidRDefault="00846B9D" w:rsidP="00846B9D">
      <w:pPr>
        <w:widowControl w:val="0"/>
        <w:autoSpaceDE w:val="0"/>
        <w:autoSpaceDN w:val="0"/>
        <w:adjustRightInd w:val="0"/>
      </w:pPr>
    </w:p>
    <w:p w:rsidR="00240619" w:rsidRPr="00D55B37" w:rsidRDefault="0024061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A2487A">
        <w:t>8699</w:t>
      </w:r>
      <w:r w:rsidRPr="00D55B37">
        <w:t xml:space="preserve">, effective </w:t>
      </w:r>
      <w:r w:rsidR="00A2487A">
        <w:t>June 1, 2012</w:t>
      </w:r>
      <w:r w:rsidRPr="00D55B37">
        <w:t>)</w:t>
      </w:r>
    </w:p>
    <w:sectPr w:rsidR="00240619" w:rsidRPr="00D55B37" w:rsidSect="00846B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6B9D"/>
    <w:rsid w:val="001F057C"/>
    <w:rsid w:val="00240619"/>
    <w:rsid w:val="00245FE8"/>
    <w:rsid w:val="002468A4"/>
    <w:rsid w:val="002F69E0"/>
    <w:rsid w:val="00585EDE"/>
    <w:rsid w:val="005C3366"/>
    <w:rsid w:val="00846B9D"/>
    <w:rsid w:val="00A2487A"/>
    <w:rsid w:val="00D1775C"/>
    <w:rsid w:val="00E355D2"/>
    <w:rsid w:val="00F5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5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5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