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E9" w:rsidRDefault="00704BE9" w:rsidP="00704BE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4BE9" w:rsidRDefault="00704BE9" w:rsidP="00704BE9">
      <w:pPr>
        <w:widowControl w:val="0"/>
        <w:autoSpaceDE w:val="0"/>
        <w:autoSpaceDN w:val="0"/>
        <w:adjustRightInd w:val="0"/>
        <w:jc w:val="center"/>
      </w:pPr>
      <w:r>
        <w:t>SUBPART B:  PAYMENT TO DECEASED CLAIMANTS</w:t>
      </w:r>
    </w:p>
    <w:sectPr w:rsidR="00704BE9" w:rsidSect="00704BE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4BE9"/>
    <w:rsid w:val="001D7AC4"/>
    <w:rsid w:val="00384629"/>
    <w:rsid w:val="005C3366"/>
    <w:rsid w:val="00704BE9"/>
    <w:rsid w:val="00A8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PAYMENT TO DECEASED CLAIMANTS</vt:lpstr>
    </vt:vector>
  </TitlesOfParts>
  <Company>State of Illinois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PAYMENT TO DECEASED CLAIMANTS</dc:title>
  <dc:subject/>
  <dc:creator>Illinois General Assembly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