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F" w:rsidRDefault="00AF384F" w:rsidP="00AF38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84F" w:rsidRDefault="00AF384F" w:rsidP="00AF384F">
      <w:pPr>
        <w:widowControl w:val="0"/>
        <w:autoSpaceDE w:val="0"/>
        <w:autoSpaceDN w:val="0"/>
        <w:adjustRightInd w:val="0"/>
      </w:pPr>
      <w:r>
        <w:t xml:space="preserve">AUTHORITY:  Implementing Section 2-102 and authorized by Sections 7-101 and 8-102 of the Illinois Human Rights Act (Ill. Rev. Stat. 1983, ch. 68, pars. 2-102, 7-101 and 8-102). </w:t>
      </w:r>
    </w:p>
    <w:sectPr w:rsidR="00AF384F" w:rsidSect="00AF38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84F"/>
    <w:rsid w:val="00022F7D"/>
    <w:rsid w:val="005C3366"/>
    <w:rsid w:val="00AF384F"/>
    <w:rsid w:val="00BA23BB"/>
    <w:rsid w:val="00D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2-102 and authorized by Sections 7-101 and 8-102 of the Illinois Human Rights Act (Ill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2-102 and authorized by Sections 7-101 and 8-102 of the Illinois Human Rights Act (Ill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