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D0" w:rsidRPr="00182567" w:rsidRDefault="00017FD0" w:rsidP="002634E8"/>
    <w:p w:rsidR="00017FD0" w:rsidRPr="002634E8" w:rsidRDefault="00017FD0" w:rsidP="002634E8">
      <w:pPr>
        <w:rPr>
          <w:b/>
        </w:rPr>
      </w:pPr>
      <w:r w:rsidRPr="002634E8">
        <w:rPr>
          <w:b/>
        </w:rPr>
        <w:t xml:space="preserve">Section 6000.65  Suspension of Permit to Operate </w:t>
      </w:r>
    </w:p>
    <w:p w:rsidR="00017FD0" w:rsidRPr="002634E8" w:rsidRDefault="00017FD0" w:rsidP="002634E8"/>
    <w:p w:rsidR="00017FD0" w:rsidRPr="002634E8" w:rsidRDefault="00F72421" w:rsidP="002634E8">
      <w:pPr>
        <w:ind w:left="1440" w:hanging="720"/>
      </w:pPr>
      <w:r w:rsidRPr="002634E8">
        <w:t>a)</w:t>
      </w:r>
      <w:r w:rsidRPr="002634E8">
        <w:tab/>
      </w:r>
      <w:r w:rsidR="00017FD0" w:rsidRPr="002634E8">
        <w:t xml:space="preserve">The Director </w:t>
      </w:r>
      <w:r w:rsidRPr="002634E8">
        <w:t>may deny,</w:t>
      </w:r>
      <w:r w:rsidR="00017FD0" w:rsidRPr="002634E8">
        <w:t xml:space="preserve"> suspend </w:t>
      </w:r>
      <w:r w:rsidRPr="002634E8">
        <w:t xml:space="preserve">or revoke </w:t>
      </w:r>
      <w:r w:rsidR="00017FD0" w:rsidRPr="002634E8">
        <w:t xml:space="preserve">the permit to operate </w:t>
      </w:r>
      <w:r w:rsidRPr="002634E8">
        <w:t>whe</w:t>
      </w:r>
      <w:r w:rsidR="00AC308A" w:rsidRPr="002634E8">
        <w:t>n</w:t>
      </w:r>
      <w:r w:rsidRPr="002634E8">
        <w:t xml:space="preserve"> the </w:t>
      </w:r>
      <w:r w:rsidR="00017FD0" w:rsidRPr="002634E8">
        <w:t>amusement ride or amusement attraction does not meet the requirements of the Act or</w:t>
      </w:r>
      <w:r w:rsidR="00AC308A" w:rsidRPr="002634E8">
        <w:t xml:space="preserve"> this Part</w:t>
      </w:r>
      <w:r w:rsidR="00F45144" w:rsidRPr="002634E8">
        <w:t xml:space="preserve"> or</w:t>
      </w:r>
      <w:r w:rsidRPr="002634E8">
        <w:t xml:space="preserve"> has been operated in violation of the Act or </w:t>
      </w:r>
      <w:r w:rsidR="00AC308A" w:rsidRPr="002634E8">
        <w:t>this Part,</w:t>
      </w:r>
      <w:r w:rsidRPr="002634E8">
        <w:t xml:space="preserve"> or for other good cause under the mea</w:t>
      </w:r>
      <w:r w:rsidR="009A5C6A" w:rsidRPr="002634E8">
        <w:t>n</w:t>
      </w:r>
      <w:r w:rsidRPr="002634E8">
        <w:t>ing and purposes of the Act.</w:t>
      </w:r>
      <w:r w:rsidR="00017FD0" w:rsidRPr="002634E8">
        <w:t xml:space="preserve">  The amusement ride or amusement attraction may not be operated while the permit is</w:t>
      </w:r>
      <w:r w:rsidRPr="002634E8">
        <w:t xml:space="preserve"> denied</w:t>
      </w:r>
      <w:r w:rsidR="00AC308A" w:rsidRPr="002634E8">
        <w:t>,</w:t>
      </w:r>
      <w:r w:rsidR="00017FD0" w:rsidRPr="002634E8">
        <w:t xml:space="preserve"> suspended</w:t>
      </w:r>
      <w:r w:rsidRPr="002634E8">
        <w:t xml:space="preserve"> or revoked</w:t>
      </w:r>
      <w:r w:rsidR="00017FD0" w:rsidRPr="002634E8">
        <w:t xml:space="preserve">. </w:t>
      </w:r>
    </w:p>
    <w:p w:rsidR="00F72421" w:rsidRPr="002634E8" w:rsidRDefault="00F72421" w:rsidP="00182567"/>
    <w:p w:rsidR="00F72421" w:rsidRPr="002634E8" w:rsidRDefault="00F72421" w:rsidP="002634E8">
      <w:pPr>
        <w:ind w:left="1440" w:hanging="720"/>
      </w:pPr>
      <w:r w:rsidRPr="002634E8">
        <w:t>b)</w:t>
      </w:r>
      <w:r w:rsidRPr="002634E8">
        <w:tab/>
        <w:t xml:space="preserve">If the Department denies, suspends or revokes a permit or issues a Stop </w:t>
      </w:r>
      <w:r w:rsidR="00731562">
        <w:rPr>
          <w:color w:val="000000"/>
        </w:rPr>
        <w:t>Operation</w:t>
      </w:r>
      <w:r w:rsidR="00731562" w:rsidRPr="002634E8">
        <w:t xml:space="preserve"> </w:t>
      </w:r>
      <w:r w:rsidRPr="002634E8">
        <w:t>Order as provided in Section 6000.180</w:t>
      </w:r>
      <w:r w:rsidR="00AC308A" w:rsidRPr="002634E8">
        <w:t xml:space="preserve">, it </w:t>
      </w:r>
      <w:r w:rsidR="008F45BA">
        <w:t>shall</w:t>
      </w:r>
      <w:r w:rsidRPr="002634E8">
        <w:t xml:space="preserve"> notify</w:t>
      </w:r>
      <w:r w:rsidR="00AC308A" w:rsidRPr="002634E8">
        <w:t>,</w:t>
      </w:r>
      <w:r w:rsidRPr="002634E8">
        <w:t xml:space="preserve"> in writing</w:t>
      </w:r>
      <w:r w:rsidR="00F45144" w:rsidRPr="002634E8">
        <w:t>,</w:t>
      </w:r>
      <w:r w:rsidRPr="002634E8">
        <w:t xml:space="preserve"> the owner and</w:t>
      </w:r>
      <w:r w:rsidR="00AC308A" w:rsidRPr="002634E8">
        <w:t>, if</w:t>
      </w:r>
      <w:r w:rsidRPr="002634E8">
        <w:t xml:space="preserve"> the owner is neither the person operating nor control</w:t>
      </w:r>
      <w:r w:rsidR="00AF3194" w:rsidRPr="002634E8">
        <w:t>l</w:t>
      </w:r>
      <w:r w:rsidR="00AC308A" w:rsidRPr="002634E8">
        <w:t>ing</w:t>
      </w:r>
      <w:r w:rsidR="00F45144" w:rsidRPr="002634E8">
        <w:t>, nor</w:t>
      </w:r>
      <w:r w:rsidRPr="002634E8">
        <w:t xml:space="preserve"> has the duty to control</w:t>
      </w:r>
      <w:r w:rsidR="008F45BA">
        <w:t>,</w:t>
      </w:r>
      <w:r w:rsidRPr="002634E8">
        <w:t xml:space="preserve"> the operation of the amusement ride or amusement attraction, the Department shall also notify th</w:t>
      </w:r>
      <w:r w:rsidR="00AC308A" w:rsidRPr="002634E8">
        <w:t>at</w:t>
      </w:r>
      <w:r w:rsidRPr="002634E8">
        <w:t xml:space="preserve"> person of the basis for the Department</w:t>
      </w:r>
      <w:r w:rsidR="00AC308A" w:rsidRPr="002634E8">
        <w:t>'</w:t>
      </w:r>
      <w:r w:rsidRPr="002634E8">
        <w:t xml:space="preserve">s action. If the Department </w:t>
      </w:r>
      <w:r w:rsidR="00731562">
        <w:t>issues</w:t>
      </w:r>
      <w:r w:rsidRPr="002634E8">
        <w:t xml:space="preserve"> a Stop</w:t>
      </w:r>
      <w:r w:rsidR="00731562" w:rsidRPr="00731562">
        <w:rPr>
          <w:color w:val="000000"/>
        </w:rPr>
        <w:t xml:space="preserve"> </w:t>
      </w:r>
      <w:r w:rsidR="00731562">
        <w:rPr>
          <w:color w:val="000000"/>
        </w:rPr>
        <w:t>Operation</w:t>
      </w:r>
      <w:r w:rsidRPr="002634E8">
        <w:t xml:space="preserve"> Order, the notice shall also include the conditions </w:t>
      </w:r>
      <w:r w:rsidR="00731562">
        <w:t>requiring</w:t>
      </w:r>
      <w:r w:rsidRPr="002634E8">
        <w:t xml:space="preserve"> correction at the time the </w:t>
      </w:r>
      <w:r w:rsidR="00731562">
        <w:t xml:space="preserve">Stop </w:t>
      </w:r>
      <w:r w:rsidR="00731562">
        <w:rPr>
          <w:color w:val="000000"/>
        </w:rPr>
        <w:t>Operation</w:t>
      </w:r>
      <w:r w:rsidR="00731562" w:rsidRPr="002634E8">
        <w:t xml:space="preserve"> </w:t>
      </w:r>
      <w:r w:rsidR="00731562">
        <w:t>Order</w:t>
      </w:r>
      <w:r w:rsidRPr="002634E8">
        <w:t xml:space="preserve"> is issued.</w:t>
      </w:r>
    </w:p>
    <w:p w:rsidR="00F72421" w:rsidRPr="002634E8" w:rsidRDefault="00F72421" w:rsidP="00182567"/>
    <w:p w:rsidR="00F72421" w:rsidRPr="002634E8" w:rsidRDefault="005856AB" w:rsidP="002634E8">
      <w:pPr>
        <w:ind w:left="1440" w:hanging="720"/>
      </w:pPr>
      <w:r w:rsidRPr="002634E8">
        <w:t>c)</w:t>
      </w:r>
      <w:r w:rsidRPr="002634E8">
        <w:tab/>
      </w:r>
      <w:r w:rsidR="00F72421" w:rsidRPr="002634E8">
        <w:t>If a person whose permit has been suspended or revoked, whose application for a permit has been denied</w:t>
      </w:r>
      <w:r w:rsidR="00AC308A" w:rsidRPr="002634E8">
        <w:t>,</w:t>
      </w:r>
      <w:r w:rsidR="00F72421" w:rsidRPr="002634E8">
        <w:t xml:space="preserve"> or who has received a Stop </w:t>
      </w:r>
      <w:r w:rsidR="00731562">
        <w:rPr>
          <w:color w:val="000000"/>
        </w:rPr>
        <w:t>Operation</w:t>
      </w:r>
      <w:r w:rsidR="00731562" w:rsidRPr="002634E8">
        <w:t xml:space="preserve"> </w:t>
      </w:r>
      <w:r w:rsidR="00F72421" w:rsidRPr="002634E8">
        <w:t xml:space="preserve">Order believes that the violation or condition justifying suspension, revocation, Stop </w:t>
      </w:r>
      <w:r w:rsidR="00731562">
        <w:rPr>
          <w:color w:val="000000"/>
        </w:rPr>
        <w:t>Operation</w:t>
      </w:r>
      <w:r w:rsidR="00731562" w:rsidRPr="002634E8">
        <w:t xml:space="preserve"> </w:t>
      </w:r>
      <w:r w:rsidR="00F72421" w:rsidRPr="002634E8">
        <w:t>Order or denial does not exist, the person may appeal the Department</w:t>
      </w:r>
      <w:r w:rsidR="00AC308A" w:rsidRPr="002634E8">
        <w:t>'</w:t>
      </w:r>
      <w:r w:rsidR="00F72421" w:rsidRPr="002634E8">
        <w:t xml:space="preserve">s </w:t>
      </w:r>
      <w:r w:rsidR="00AF3194" w:rsidRPr="002634E8">
        <w:t xml:space="preserve">decision </w:t>
      </w:r>
      <w:r w:rsidR="00F72421" w:rsidRPr="002634E8">
        <w:t>by filing a written request for a hearing within 10 working days after the Department's</w:t>
      </w:r>
      <w:r w:rsidR="00AF3194" w:rsidRPr="002634E8">
        <w:t xml:space="preserve"> decision</w:t>
      </w:r>
      <w:r w:rsidR="00F72421" w:rsidRPr="002634E8">
        <w:t xml:space="preserve">. Failure to file an appeal and request for a hearing shall cause the </w:t>
      </w:r>
      <w:r w:rsidR="00AF3194" w:rsidRPr="002634E8">
        <w:t xml:space="preserve">decision </w:t>
      </w:r>
      <w:r w:rsidR="00F72421" w:rsidRPr="002634E8">
        <w:t>of the Department to become a final administrative decision</w:t>
      </w:r>
      <w:r w:rsidR="00AF3194" w:rsidRPr="002634E8">
        <w:t xml:space="preserve"> subject to the Administrative </w:t>
      </w:r>
      <w:r w:rsidR="00430764" w:rsidRPr="002634E8">
        <w:t>R</w:t>
      </w:r>
      <w:r w:rsidR="00AF3194" w:rsidRPr="002634E8">
        <w:t>eview Law [735 ILCS 5/Art. III]</w:t>
      </w:r>
      <w:r w:rsidR="00F72421" w:rsidRPr="002634E8">
        <w:t>.</w:t>
      </w:r>
    </w:p>
    <w:p w:rsidR="00F72421" w:rsidRPr="002634E8" w:rsidRDefault="00F72421" w:rsidP="00182567"/>
    <w:p w:rsidR="00F72421" w:rsidRPr="002634E8" w:rsidRDefault="005856AB" w:rsidP="002634E8">
      <w:pPr>
        <w:ind w:left="1440" w:hanging="720"/>
      </w:pPr>
      <w:r w:rsidRPr="002634E8">
        <w:t>d)</w:t>
      </w:r>
      <w:r w:rsidRPr="002634E8">
        <w:tab/>
      </w:r>
      <w:r w:rsidR="00F72421" w:rsidRPr="002634E8">
        <w:t xml:space="preserve">Unless otherwise mutually agreed by the parties, the Department shall schedule a hearing within 48 hours after the request for hearing. </w:t>
      </w:r>
    </w:p>
    <w:p w:rsidR="00F72421" w:rsidRPr="002634E8" w:rsidRDefault="00F72421" w:rsidP="00182567"/>
    <w:p w:rsidR="00F72421" w:rsidRPr="002634E8" w:rsidRDefault="005856AB" w:rsidP="002634E8">
      <w:pPr>
        <w:ind w:left="1440" w:hanging="720"/>
      </w:pPr>
      <w:r w:rsidRPr="002634E8">
        <w:t>e)</w:t>
      </w:r>
      <w:r w:rsidRPr="002634E8">
        <w:tab/>
      </w:r>
      <w:r w:rsidR="00F72421" w:rsidRPr="002634E8">
        <w:t>Service of notice of a hearing shall be made by personal service or certified mail to the address shown on the application for permit, or to any other address on file with the Department and reasonably believed to be the current address of the permit holder.</w:t>
      </w:r>
    </w:p>
    <w:p w:rsidR="00F72421" w:rsidRPr="002634E8" w:rsidRDefault="00F72421" w:rsidP="00182567"/>
    <w:p w:rsidR="00F72421" w:rsidRPr="002634E8" w:rsidRDefault="005856AB" w:rsidP="002634E8">
      <w:pPr>
        <w:ind w:left="1440" w:hanging="720"/>
      </w:pPr>
      <w:r w:rsidRPr="002634E8">
        <w:t>f)</w:t>
      </w:r>
      <w:r w:rsidRPr="002634E8">
        <w:tab/>
      </w:r>
      <w:r w:rsidR="00F72421" w:rsidRPr="002634E8">
        <w:t>The written notice of a hearing shall specify the time, date and location of the hearing and the reasons for the action proposed by the Department.</w:t>
      </w:r>
    </w:p>
    <w:p w:rsidR="00F72421" w:rsidRPr="002634E8" w:rsidRDefault="00F72421" w:rsidP="00182567"/>
    <w:p w:rsidR="00F72421" w:rsidRPr="002634E8" w:rsidRDefault="005856AB" w:rsidP="002634E8">
      <w:pPr>
        <w:ind w:left="1440" w:hanging="720"/>
      </w:pPr>
      <w:r w:rsidRPr="002634E8">
        <w:t>g)</w:t>
      </w:r>
      <w:r w:rsidRPr="002634E8">
        <w:tab/>
      </w:r>
      <w:r w:rsidR="00F72421" w:rsidRPr="002634E8">
        <w:t>At the hearing, the Department shall have the burden of establishing good cause for its action. Good cause shall be considered shown whe</w:t>
      </w:r>
      <w:r w:rsidR="00AC308A" w:rsidRPr="002634E8">
        <w:t>n</w:t>
      </w:r>
      <w:r w:rsidR="00F72421" w:rsidRPr="002634E8">
        <w:t xml:space="preserve"> the Department establishes </w:t>
      </w:r>
      <w:r w:rsidR="00AC308A" w:rsidRPr="002634E8">
        <w:t xml:space="preserve">that </w:t>
      </w:r>
      <w:r w:rsidR="00F72421" w:rsidRPr="002634E8">
        <w:t>the ride or amusement attraction has been operating without a permit or the operator has failed to comply with the requirements for a permit as provided for under the Act and th</w:t>
      </w:r>
      <w:r w:rsidR="00AC308A" w:rsidRPr="002634E8">
        <w:t>is Part</w:t>
      </w:r>
      <w:r w:rsidR="00F72421" w:rsidRPr="002634E8">
        <w:t xml:space="preserve">.  </w:t>
      </w:r>
    </w:p>
    <w:p w:rsidR="00F45144" w:rsidRPr="002634E8" w:rsidRDefault="00F45144" w:rsidP="00182567"/>
    <w:p w:rsidR="00F72421" w:rsidRPr="002634E8" w:rsidRDefault="00AC308A" w:rsidP="002634E8">
      <w:pPr>
        <w:ind w:left="1440" w:hanging="720"/>
      </w:pPr>
      <w:r w:rsidRPr="002634E8">
        <w:t>h)</w:t>
      </w:r>
      <w:r w:rsidR="005856AB" w:rsidRPr="002634E8">
        <w:tab/>
      </w:r>
      <w:r w:rsidR="00F72421" w:rsidRPr="002634E8">
        <w:t xml:space="preserve">The hearing under this Section shall comply with the </w:t>
      </w:r>
      <w:r w:rsidR="008F45BA">
        <w:t xml:space="preserve">Department's </w:t>
      </w:r>
      <w:r w:rsidR="00F72421" w:rsidRPr="002634E8">
        <w:t xml:space="preserve">Rules of Procedure in Administrative Hearings </w:t>
      </w:r>
      <w:r w:rsidRPr="002634E8">
        <w:t>(</w:t>
      </w:r>
      <w:r w:rsidR="00F72421" w:rsidRPr="002634E8">
        <w:t>56 Ill. Adm. Code 120</w:t>
      </w:r>
      <w:r w:rsidRPr="002634E8">
        <w:t>)</w:t>
      </w:r>
      <w:r w:rsidR="00F72421" w:rsidRPr="002634E8">
        <w:t xml:space="preserve">, except that formal </w:t>
      </w:r>
      <w:r w:rsidR="00F72421" w:rsidRPr="002634E8">
        <w:lastRenderedPageBreak/>
        <w:t>discovery, such as production requests, interrogatories, requests to admit and depositions shall not</w:t>
      </w:r>
      <w:r w:rsidR="005856AB" w:rsidRPr="002634E8">
        <w:t xml:space="preserve"> </w:t>
      </w:r>
      <w:r w:rsidR="00F72421" w:rsidRPr="002634E8">
        <w:t xml:space="preserve">be allowed. </w:t>
      </w:r>
      <w:r w:rsidRPr="002634E8">
        <w:t xml:space="preserve"> P</w:t>
      </w:r>
      <w:r w:rsidR="00F72421" w:rsidRPr="002634E8">
        <w:t>rior to hearing</w:t>
      </w:r>
      <w:r w:rsidR="003C4970" w:rsidRPr="002634E8">
        <w:t>, the parties shall exchange d</w:t>
      </w:r>
      <w:r w:rsidR="00F72421" w:rsidRPr="002634E8">
        <w:t xml:space="preserve">ocuments and witness lists </w:t>
      </w:r>
      <w:r w:rsidR="003C4970" w:rsidRPr="002634E8">
        <w:t>and may</w:t>
      </w:r>
      <w:r w:rsidR="00F72421" w:rsidRPr="002634E8">
        <w:t xml:space="preserve"> issue subpoenas. </w:t>
      </w:r>
    </w:p>
    <w:p w:rsidR="00F72421" w:rsidRPr="002634E8" w:rsidRDefault="00F72421" w:rsidP="00182567"/>
    <w:p w:rsidR="00F72421" w:rsidRPr="002634E8" w:rsidRDefault="00C919EC" w:rsidP="002634E8">
      <w:pPr>
        <w:ind w:left="1440" w:hanging="720"/>
      </w:pPr>
      <w:r w:rsidRPr="002634E8">
        <w:t>i)</w:t>
      </w:r>
      <w:r w:rsidRPr="002634E8">
        <w:tab/>
      </w:r>
      <w:r w:rsidR="00F72421" w:rsidRPr="002634E8">
        <w:t xml:space="preserve">The final </w:t>
      </w:r>
      <w:r w:rsidR="00AF3194" w:rsidRPr="002634E8">
        <w:t xml:space="preserve">decision </w:t>
      </w:r>
      <w:r w:rsidR="00F72421" w:rsidRPr="002634E8">
        <w:t>by the Department</w:t>
      </w:r>
      <w:r w:rsidRPr="002634E8">
        <w:t xml:space="preserve"> </w:t>
      </w:r>
      <w:r w:rsidR="00F72421" w:rsidRPr="002634E8">
        <w:t>shall be rendered within 5 working days after the conclusion of the hearing. The Administrative Law Judge</w:t>
      </w:r>
      <w:r w:rsidR="003C4970" w:rsidRPr="002634E8">
        <w:t>'</w:t>
      </w:r>
      <w:r w:rsidR="00F72421" w:rsidRPr="002634E8">
        <w:t xml:space="preserve">s </w:t>
      </w:r>
      <w:r w:rsidR="00AF3194" w:rsidRPr="002634E8">
        <w:t>d</w:t>
      </w:r>
      <w:r w:rsidR="00F72421" w:rsidRPr="002634E8">
        <w:t xml:space="preserve">ecision shall be deemed a final </w:t>
      </w:r>
      <w:r w:rsidR="003C4970" w:rsidRPr="002634E8">
        <w:t>a</w:t>
      </w:r>
      <w:r w:rsidR="00F72421" w:rsidRPr="002634E8">
        <w:t xml:space="preserve">dministrative </w:t>
      </w:r>
      <w:r w:rsidR="00AF3194" w:rsidRPr="002634E8">
        <w:t xml:space="preserve">decision </w:t>
      </w:r>
      <w:r w:rsidR="00F72421" w:rsidRPr="002634E8">
        <w:t>by the Department</w:t>
      </w:r>
      <w:r w:rsidR="003E4187" w:rsidRPr="002634E8">
        <w:t>, subject to the Administrative Review Law</w:t>
      </w:r>
      <w:r w:rsidR="00F72421" w:rsidRPr="002634E8">
        <w:t>.</w:t>
      </w:r>
    </w:p>
    <w:p w:rsidR="00F72421" w:rsidRPr="002634E8" w:rsidRDefault="00F72421" w:rsidP="00182567"/>
    <w:p w:rsidR="00F72421" w:rsidRPr="002634E8" w:rsidRDefault="00C919EC" w:rsidP="002634E8">
      <w:pPr>
        <w:ind w:left="1440" w:hanging="720"/>
      </w:pPr>
      <w:r w:rsidRPr="002634E8">
        <w:t>j)</w:t>
      </w:r>
      <w:r w:rsidRPr="002634E8">
        <w:tab/>
      </w:r>
      <w:r w:rsidR="00F72421" w:rsidRPr="002634E8">
        <w:t>In computing any period of time prescribed or allowed by th</w:t>
      </w:r>
      <w:r w:rsidR="003C4970" w:rsidRPr="002634E8">
        <w:t>is Part</w:t>
      </w:r>
      <w:r w:rsidR="00F72421" w:rsidRPr="002634E8">
        <w:t>, the day of the act, event or default after which the designated period of time begins to run is not to be included</w:t>
      </w:r>
      <w:r w:rsidR="00F6176A" w:rsidRPr="002634E8">
        <w:t>,</w:t>
      </w:r>
      <w:r w:rsidR="00F72421" w:rsidRPr="002634E8">
        <w:t xml:space="preserve"> and </w:t>
      </w:r>
      <w:r w:rsidR="003C4970" w:rsidRPr="002634E8">
        <w:t xml:space="preserve">the designated period </w:t>
      </w:r>
      <w:r w:rsidR="00F72421" w:rsidRPr="002634E8">
        <w:t xml:space="preserve">shall run until the end of the last day, or the next following </w:t>
      </w:r>
      <w:r w:rsidR="00AF3194" w:rsidRPr="002634E8">
        <w:t xml:space="preserve">working </w:t>
      </w:r>
      <w:r w:rsidR="00F72421" w:rsidRPr="002634E8">
        <w:t>day.</w:t>
      </w:r>
    </w:p>
    <w:p w:rsidR="00F72421" w:rsidRPr="002634E8" w:rsidRDefault="00F72421" w:rsidP="00182567">
      <w:bookmarkStart w:id="0" w:name="_GoBack"/>
      <w:bookmarkEnd w:id="0"/>
    </w:p>
    <w:p w:rsidR="00AF3194" w:rsidRPr="002634E8" w:rsidRDefault="00AF3194" w:rsidP="002634E8">
      <w:pPr>
        <w:ind w:left="1440" w:hanging="720"/>
      </w:pPr>
      <w:r w:rsidRPr="002634E8">
        <w:t>k)</w:t>
      </w:r>
      <w:r w:rsidRPr="002634E8">
        <w:tab/>
        <w:t xml:space="preserve">If a party seeks judicial review of a final administrative decision, that party shall pay the actual cost to the Department of preparing the administrative record and filing the record in court.  Payment shall be by </w:t>
      </w:r>
      <w:r w:rsidR="00731562">
        <w:rPr>
          <w:color w:val="000000"/>
        </w:rPr>
        <w:t>electronic fund transfer</w:t>
      </w:r>
      <w:r w:rsidR="00EF137A">
        <w:rPr>
          <w:color w:val="000000"/>
        </w:rPr>
        <w:t>,</w:t>
      </w:r>
      <w:r w:rsidRPr="002634E8">
        <w:t xml:space="preserve"> check </w:t>
      </w:r>
      <w:r w:rsidR="00EF137A">
        <w:t xml:space="preserve">or money order </w:t>
      </w:r>
      <w:r w:rsidRPr="002634E8">
        <w:t>made payable to the Illinois Department of Labor.</w:t>
      </w:r>
    </w:p>
    <w:p w:rsidR="00AF3194" w:rsidRPr="002634E8" w:rsidRDefault="00AF3194" w:rsidP="002634E8"/>
    <w:p w:rsidR="00017FD0" w:rsidRPr="002634E8" w:rsidRDefault="00731562" w:rsidP="002634E8">
      <w:pPr>
        <w:ind w:firstLine="720"/>
      </w:pPr>
      <w:r>
        <w:t xml:space="preserve">(Source:  Amended at 44 Ill. Reg. </w:t>
      </w:r>
      <w:r w:rsidR="00757CD3">
        <w:t>19907</w:t>
      </w:r>
      <w:r>
        <w:t xml:space="preserve">, effective </w:t>
      </w:r>
      <w:r w:rsidR="00757CD3">
        <w:t>December 8, 2020</w:t>
      </w:r>
      <w:r>
        <w:t>)</w:t>
      </w:r>
    </w:p>
    <w:sectPr w:rsidR="00017FD0" w:rsidRPr="002634E8" w:rsidSect="00266663">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63" w:rsidRDefault="00266663" w:rsidP="00266663">
      <w:r>
        <w:separator/>
      </w:r>
    </w:p>
  </w:endnote>
  <w:endnote w:type="continuationSeparator" w:id="0">
    <w:p w:rsidR="00266663" w:rsidRDefault="00266663" w:rsidP="0026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63" w:rsidRDefault="00266663" w:rsidP="00266663">
      <w:r>
        <w:separator/>
      </w:r>
    </w:p>
  </w:footnote>
  <w:footnote w:type="continuationSeparator" w:id="0">
    <w:p w:rsidR="00266663" w:rsidRDefault="00266663" w:rsidP="00266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4AD4"/>
    <w:multiLevelType w:val="hybridMultilevel"/>
    <w:tmpl w:val="E990F620"/>
    <w:lvl w:ilvl="0" w:tplc="41B887C4">
      <w:start w:val="1"/>
      <w:numFmt w:val="low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04A59"/>
    <w:multiLevelType w:val="hybridMultilevel"/>
    <w:tmpl w:val="482AD8EA"/>
    <w:lvl w:ilvl="0" w:tplc="094E53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01ECF"/>
    <w:multiLevelType w:val="hybridMultilevel"/>
    <w:tmpl w:val="49220114"/>
    <w:lvl w:ilvl="0" w:tplc="E9A64D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873AD2"/>
    <w:multiLevelType w:val="hybridMultilevel"/>
    <w:tmpl w:val="D9120738"/>
    <w:lvl w:ilvl="0" w:tplc="9E1AC7F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EB71901"/>
    <w:multiLevelType w:val="hybridMultilevel"/>
    <w:tmpl w:val="99222AA6"/>
    <w:lvl w:ilvl="0" w:tplc="3BF46C60">
      <w:start w:val="9"/>
      <w:numFmt w:val="lowerLetter"/>
      <w:lvlText w:val="%1)"/>
      <w:lvlJc w:val="left"/>
      <w:pPr>
        <w:ind w:left="1800" w:hanging="360"/>
      </w:pPr>
      <w:rPr>
        <w:rFonts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AB27A6"/>
    <w:multiLevelType w:val="hybridMultilevel"/>
    <w:tmpl w:val="3D1CC098"/>
    <w:lvl w:ilvl="0" w:tplc="8D44105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B3CB7"/>
    <w:multiLevelType w:val="hybridMultilevel"/>
    <w:tmpl w:val="835863BC"/>
    <w:lvl w:ilvl="0" w:tplc="B0F06B94">
      <w:start w:val="3"/>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981792B"/>
    <w:multiLevelType w:val="hybridMultilevel"/>
    <w:tmpl w:val="5BA2DA80"/>
    <w:lvl w:ilvl="0" w:tplc="B8506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46778A"/>
    <w:multiLevelType w:val="hybridMultilevel"/>
    <w:tmpl w:val="9738A98C"/>
    <w:lvl w:ilvl="0" w:tplc="4BE63F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2B5543"/>
    <w:multiLevelType w:val="hybridMultilevel"/>
    <w:tmpl w:val="6CA093FC"/>
    <w:lvl w:ilvl="0" w:tplc="D3C6F27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371885"/>
    <w:multiLevelType w:val="hybridMultilevel"/>
    <w:tmpl w:val="E5E07BB8"/>
    <w:lvl w:ilvl="0" w:tplc="583EC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28780E"/>
    <w:multiLevelType w:val="hybridMultilevel"/>
    <w:tmpl w:val="2B98D9FE"/>
    <w:lvl w:ilvl="0" w:tplc="0B5E7A74">
      <w:start w:val="4"/>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9F13E4B"/>
    <w:multiLevelType w:val="hybridMultilevel"/>
    <w:tmpl w:val="DB583F92"/>
    <w:lvl w:ilvl="0" w:tplc="E85489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5140F3"/>
    <w:multiLevelType w:val="hybridMultilevel"/>
    <w:tmpl w:val="FD1CA74A"/>
    <w:lvl w:ilvl="0" w:tplc="80F6F3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865B09"/>
    <w:multiLevelType w:val="hybridMultilevel"/>
    <w:tmpl w:val="F52895CC"/>
    <w:lvl w:ilvl="0" w:tplc="6AEC3F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220529"/>
    <w:multiLevelType w:val="hybridMultilevel"/>
    <w:tmpl w:val="EDFCA370"/>
    <w:lvl w:ilvl="0" w:tplc="FEDCD968">
      <w:start w:val="4"/>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7EBA753E"/>
    <w:multiLevelType w:val="hybridMultilevel"/>
    <w:tmpl w:val="E00CCCCA"/>
    <w:lvl w:ilvl="0" w:tplc="667E4B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5"/>
  </w:num>
  <w:num w:numId="5">
    <w:abstractNumId w:val="15"/>
  </w:num>
  <w:num w:numId="6">
    <w:abstractNumId w:val="11"/>
  </w:num>
  <w:num w:numId="7">
    <w:abstractNumId w:val="9"/>
  </w:num>
  <w:num w:numId="8">
    <w:abstractNumId w:val="13"/>
  </w:num>
  <w:num w:numId="9">
    <w:abstractNumId w:val="14"/>
  </w:num>
  <w:num w:numId="10">
    <w:abstractNumId w:val="1"/>
  </w:num>
  <w:num w:numId="11">
    <w:abstractNumId w:val="3"/>
  </w:num>
  <w:num w:numId="12">
    <w:abstractNumId w:val="2"/>
  </w:num>
  <w:num w:numId="13">
    <w:abstractNumId w:val="8"/>
  </w:num>
  <w:num w:numId="14">
    <w:abstractNumId w:val="16"/>
  </w:num>
  <w:num w:numId="15">
    <w:abstractNumId w:val="1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FD0"/>
    <w:rsid w:val="00017FD0"/>
    <w:rsid w:val="00071E1F"/>
    <w:rsid w:val="00182567"/>
    <w:rsid w:val="00184766"/>
    <w:rsid w:val="0018557E"/>
    <w:rsid w:val="00222EF5"/>
    <w:rsid w:val="002634E8"/>
    <w:rsid w:val="00266663"/>
    <w:rsid w:val="003A1F4D"/>
    <w:rsid w:val="003C4970"/>
    <w:rsid w:val="003E4187"/>
    <w:rsid w:val="00430764"/>
    <w:rsid w:val="005856AB"/>
    <w:rsid w:val="005A6135"/>
    <w:rsid w:val="005C3366"/>
    <w:rsid w:val="00673D07"/>
    <w:rsid w:val="00731562"/>
    <w:rsid w:val="00757CD3"/>
    <w:rsid w:val="008F45BA"/>
    <w:rsid w:val="009A5C6A"/>
    <w:rsid w:val="00AC308A"/>
    <w:rsid w:val="00AF3194"/>
    <w:rsid w:val="00C919EC"/>
    <w:rsid w:val="00E31779"/>
    <w:rsid w:val="00EF137A"/>
    <w:rsid w:val="00F45144"/>
    <w:rsid w:val="00F6176A"/>
    <w:rsid w:val="00F7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3722E6-308C-4AF0-B958-CE6985C9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421"/>
    <w:pPr>
      <w:ind w:left="720"/>
      <w:contextualSpacing/>
    </w:pPr>
  </w:style>
  <w:style w:type="paragraph" w:styleId="Header">
    <w:name w:val="header"/>
    <w:basedOn w:val="Normal"/>
    <w:link w:val="HeaderChar"/>
    <w:uiPriority w:val="99"/>
    <w:unhideWhenUsed/>
    <w:rsid w:val="00266663"/>
    <w:pPr>
      <w:tabs>
        <w:tab w:val="center" w:pos="4680"/>
        <w:tab w:val="right" w:pos="9360"/>
      </w:tabs>
    </w:pPr>
  </w:style>
  <w:style w:type="character" w:customStyle="1" w:styleId="HeaderChar">
    <w:name w:val="Header Char"/>
    <w:basedOn w:val="DefaultParagraphFont"/>
    <w:link w:val="Header"/>
    <w:uiPriority w:val="99"/>
    <w:rsid w:val="00266663"/>
    <w:rPr>
      <w:sz w:val="24"/>
      <w:szCs w:val="24"/>
    </w:rPr>
  </w:style>
  <w:style w:type="paragraph" w:styleId="Footer">
    <w:name w:val="footer"/>
    <w:basedOn w:val="Normal"/>
    <w:link w:val="FooterChar"/>
    <w:uiPriority w:val="99"/>
    <w:unhideWhenUsed/>
    <w:rsid w:val="00266663"/>
    <w:pPr>
      <w:tabs>
        <w:tab w:val="center" w:pos="4680"/>
        <w:tab w:val="right" w:pos="9360"/>
      </w:tabs>
    </w:pPr>
  </w:style>
  <w:style w:type="character" w:customStyle="1" w:styleId="FooterChar">
    <w:name w:val="Footer Char"/>
    <w:basedOn w:val="DefaultParagraphFont"/>
    <w:link w:val="Footer"/>
    <w:uiPriority w:val="99"/>
    <w:rsid w:val="002666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Lane, Arlene L.</cp:lastModifiedBy>
  <cp:revision>4</cp:revision>
  <dcterms:created xsi:type="dcterms:W3CDTF">2020-11-13T18:17:00Z</dcterms:created>
  <dcterms:modified xsi:type="dcterms:W3CDTF">2020-12-21T21:57:00Z</dcterms:modified>
</cp:coreProperties>
</file>