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16" w:rsidRDefault="00E11A16" w:rsidP="00E11A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A16" w:rsidRDefault="00E11A16" w:rsidP="00E11A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102.40  Emergency/Disaster Response Plans</w:t>
      </w:r>
      <w:r>
        <w:t xml:space="preserve"> </w:t>
      </w:r>
    </w:p>
    <w:p w:rsidR="00E11A16" w:rsidRDefault="00E11A16" w:rsidP="00E11A16">
      <w:pPr>
        <w:widowControl w:val="0"/>
        <w:autoSpaceDE w:val="0"/>
        <w:autoSpaceDN w:val="0"/>
        <w:adjustRightInd w:val="0"/>
      </w:pPr>
    </w:p>
    <w:p w:rsidR="00E11A16" w:rsidRDefault="00E11A16" w:rsidP="00E11A16">
      <w:pPr>
        <w:widowControl w:val="0"/>
        <w:autoSpaceDE w:val="0"/>
        <w:autoSpaceDN w:val="0"/>
        <w:adjustRightInd w:val="0"/>
      </w:pPr>
      <w:r>
        <w:t xml:space="preserve">In the event of an emergency or disaster, such as an earthquake, tornado, flood, fire or man-made occurrence that threatens the safety and well-being of individuals, centers/programs shall comply with their emergency/disaster response plans. </w:t>
      </w:r>
    </w:p>
    <w:p w:rsidR="00E11A16" w:rsidRDefault="00E11A16" w:rsidP="00E11A16">
      <w:pPr>
        <w:widowControl w:val="0"/>
        <w:autoSpaceDE w:val="0"/>
        <w:autoSpaceDN w:val="0"/>
        <w:adjustRightInd w:val="0"/>
      </w:pPr>
    </w:p>
    <w:p w:rsidR="00E11A16" w:rsidRDefault="00E11A16" w:rsidP="00E11A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8520, effective May 30, 2002) </w:t>
      </w:r>
    </w:p>
    <w:sectPr w:rsidR="00E11A16" w:rsidSect="00E11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A16"/>
    <w:rsid w:val="000919A2"/>
    <w:rsid w:val="000B3163"/>
    <w:rsid w:val="005C3366"/>
    <w:rsid w:val="00993693"/>
    <w:rsid w:val="00E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