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27" w:rsidRDefault="007A4227" w:rsidP="007A42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227" w:rsidRDefault="007A4227" w:rsidP="007A4227">
      <w:pPr>
        <w:widowControl w:val="0"/>
        <w:autoSpaceDE w:val="0"/>
        <w:autoSpaceDN w:val="0"/>
        <w:adjustRightInd w:val="0"/>
        <w:jc w:val="center"/>
      </w:pPr>
      <w:r>
        <w:t>SUBPART G:  WELL CONSTRUCTION, OPERATING AND REPORTING REQUIREMENTS FOR CLASS</w:t>
      </w:r>
    </w:p>
    <w:p w:rsidR="007A4227" w:rsidRDefault="007A4227" w:rsidP="007A4227">
      <w:pPr>
        <w:widowControl w:val="0"/>
        <w:autoSpaceDE w:val="0"/>
        <w:autoSpaceDN w:val="0"/>
        <w:adjustRightInd w:val="0"/>
        <w:jc w:val="center"/>
      </w:pPr>
      <w:r>
        <w:t>II UIC WELLS</w:t>
      </w:r>
    </w:p>
    <w:sectPr w:rsidR="007A4227" w:rsidSect="007A42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227"/>
    <w:rsid w:val="00451B3F"/>
    <w:rsid w:val="005C3366"/>
    <w:rsid w:val="007A4227"/>
    <w:rsid w:val="0099753E"/>
    <w:rsid w:val="00C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WELL CONSTRUCTION, OPERATING AND REPORTING REQUIREMENTS FOR CLASS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WELL CONSTRUCTION, OPERATING AND REPORTING REQUIREMENTS FOR CLASS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