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DC" w:rsidRDefault="00B266DC" w:rsidP="00B266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66DC" w:rsidRDefault="00B266DC" w:rsidP="00B266DC">
      <w:pPr>
        <w:widowControl w:val="0"/>
        <w:autoSpaceDE w:val="0"/>
        <w:autoSpaceDN w:val="0"/>
        <w:adjustRightInd w:val="0"/>
        <w:jc w:val="center"/>
      </w:pPr>
      <w:r>
        <w:t>PART 250</w:t>
      </w:r>
    </w:p>
    <w:p w:rsidR="00B266DC" w:rsidRDefault="00B266DC" w:rsidP="00B266DC">
      <w:pPr>
        <w:widowControl w:val="0"/>
        <w:autoSpaceDE w:val="0"/>
        <w:autoSpaceDN w:val="0"/>
        <w:adjustRightInd w:val="0"/>
        <w:jc w:val="center"/>
      </w:pPr>
      <w:r>
        <w:t>OIL AND GAS WELLS ON PUBLIC LANDS ACT</w:t>
      </w:r>
    </w:p>
    <w:sectPr w:rsidR="00B266DC" w:rsidSect="00B266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66DC"/>
    <w:rsid w:val="005C3366"/>
    <w:rsid w:val="00B266DC"/>
    <w:rsid w:val="00BC07C2"/>
    <w:rsid w:val="00BF4886"/>
    <w:rsid w:val="00D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