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C1" w:rsidRDefault="001137C1" w:rsidP="001137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7C1" w:rsidRDefault="001137C1" w:rsidP="001137C1">
      <w:pPr>
        <w:widowControl w:val="0"/>
        <w:autoSpaceDE w:val="0"/>
        <w:autoSpaceDN w:val="0"/>
        <w:adjustRightInd w:val="0"/>
      </w:pPr>
      <w:r>
        <w:t xml:space="preserve">AUTHORITY:  Implemented and authorized by Section 16 of the Oil and Gas Wells on Public Lands Act [5 ILCS 615/16]. </w:t>
      </w:r>
    </w:p>
    <w:sectPr w:rsidR="001137C1" w:rsidSect="001137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7C1"/>
    <w:rsid w:val="001137C1"/>
    <w:rsid w:val="00182A84"/>
    <w:rsid w:val="00301313"/>
    <w:rsid w:val="005C3366"/>
    <w:rsid w:val="00E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Implemented and authorized by Section 16 of the Oil and Gas Wells on Public Lands Act [5 ILCS 615/16]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Implemented and authorized by Section 16 of the Oil and Gas Wells on Public Lands Act [5 ILCS 615/16]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