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D4" w:rsidRDefault="00451CD4" w:rsidP="00451C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1CD4" w:rsidRDefault="00451CD4" w:rsidP="00451C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1702.10  Information Collection</w:t>
      </w:r>
      <w:r>
        <w:t xml:space="preserve"> </w:t>
      </w:r>
    </w:p>
    <w:p w:rsidR="00451CD4" w:rsidRDefault="00451CD4" w:rsidP="00451CD4">
      <w:pPr>
        <w:widowControl w:val="0"/>
        <w:autoSpaceDE w:val="0"/>
        <w:autoSpaceDN w:val="0"/>
        <w:adjustRightInd w:val="0"/>
      </w:pPr>
    </w:p>
    <w:p w:rsidR="00451CD4" w:rsidRDefault="00451CD4" w:rsidP="00451CD4">
      <w:pPr>
        <w:widowControl w:val="0"/>
        <w:autoSpaceDE w:val="0"/>
        <w:autoSpaceDN w:val="0"/>
        <w:adjustRightInd w:val="0"/>
      </w:pPr>
      <w:r>
        <w:t xml:space="preserve">The collections of information contained in Sections 1702.11, 1702.12, 1702.13, 1702.15 and 1702.18 will be used to determine the initial and continuing applicability of the incidental mining exemption to a particular mining operation.  Response is required to obtain and maintain the incidental mining exemption in accordance with Section 1.06(b) of the State Act. </w:t>
      </w:r>
    </w:p>
    <w:sectPr w:rsidR="00451CD4" w:rsidSect="00451C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1CD4"/>
    <w:rsid w:val="00191E92"/>
    <w:rsid w:val="004132B7"/>
    <w:rsid w:val="00451CD4"/>
    <w:rsid w:val="005C3366"/>
    <w:rsid w:val="009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1702</vt:lpstr>
    </vt:vector>
  </TitlesOfParts>
  <Company>State of Illinois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1702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