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25D" w:rsidRDefault="00CE125D" w:rsidP="005250E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VII:  DEPARTMENT OF</w:t>
      </w:r>
      <w:r w:rsidR="00E95A93">
        <w:t xml:space="preserve"> FINANCIAL AND</w:t>
      </w:r>
      <w:r>
        <w:t xml:space="preserve"> PROFESSIONAL REGULATION</w:t>
      </w:r>
    </w:p>
    <w:sectPr w:rsidR="00CE125D" w:rsidSect="005250E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125D"/>
    <w:rsid w:val="00312E3E"/>
    <w:rsid w:val="005250E4"/>
    <w:rsid w:val="00910234"/>
    <w:rsid w:val="00A527F2"/>
    <w:rsid w:val="00B9559E"/>
    <w:rsid w:val="00CE125D"/>
    <w:rsid w:val="00E04067"/>
    <w:rsid w:val="00E9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VII:  DEPARTMENT OF PROFESSIONAL REGULATION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VII:  DEPARTMENT OF PROFESSIONAL REGULATION</dc:title>
  <dc:subject/>
  <dc:creator>MessingerRR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