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60" w:rsidRDefault="003E6B60" w:rsidP="003E6B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6B60" w:rsidRDefault="003E6B60" w:rsidP="003E6B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 1253.40  Laws Applicable to Home Medical Equipment and Service Providers</w:t>
      </w:r>
      <w:r>
        <w:t xml:space="preserve"> </w:t>
      </w:r>
    </w:p>
    <w:p w:rsidR="003E6B60" w:rsidRDefault="003E6B60" w:rsidP="003E6B60">
      <w:pPr>
        <w:widowControl w:val="0"/>
        <w:autoSpaceDE w:val="0"/>
        <w:autoSpaceDN w:val="0"/>
        <w:adjustRightInd w:val="0"/>
      </w:pPr>
    </w:p>
    <w:p w:rsidR="003E6B60" w:rsidRDefault="003E6B60" w:rsidP="003E6B60">
      <w:pPr>
        <w:widowControl w:val="0"/>
        <w:autoSpaceDE w:val="0"/>
        <w:autoSpaceDN w:val="0"/>
        <w:adjustRightInd w:val="0"/>
      </w:pPr>
      <w:r>
        <w:t xml:space="preserve">No registrant shall violate any of the following laws or regulations or other State and federal laws that apply to the type of home medical equipment and services provided: </w:t>
      </w:r>
    </w:p>
    <w:p w:rsidR="005A0B9B" w:rsidRDefault="005A0B9B" w:rsidP="003E6B60">
      <w:pPr>
        <w:widowControl w:val="0"/>
        <w:autoSpaceDE w:val="0"/>
        <w:autoSpaceDN w:val="0"/>
        <w:adjustRightInd w:val="0"/>
      </w:pPr>
    </w:p>
    <w:p w:rsidR="003E6B60" w:rsidRDefault="003E6B60" w:rsidP="003E6B6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Illinois Food, Drug and Cosmetic Act [410 ILCS 620]. </w:t>
      </w:r>
    </w:p>
    <w:p w:rsidR="005A0B9B" w:rsidRDefault="005A0B9B" w:rsidP="003E6B60">
      <w:pPr>
        <w:widowControl w:val="0"/>
        <w:autoSpaceDE w:val="0"/>
        <w:autoSpaceDN w:val="0"/>
        <w:adjustRightInd w:val="0"/>
        <w:ind w:left="1440" w:hanging="720"/>
      </w:pPr>
    </w:p>
    <w:p w:rsidR="003E6B60" w:rsidRDefault="003E6B60" w:rsidP="003E6B6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Federal Food, Drug and Cosmetic Act [21 USC 301 et seq. (1976)]. </w:t>
      </w:r>
    </w:p>
    <w:p w:rsidR="005A0B9B" w:rsidRDefault="005A0B9B" w:rsidP="003E6B60">
      <w:pPr>
        <w:widowControl w:val="0"/>
        <w:autoSpaceDE w:val="0"/>
        <w:autoSpaceDN w:val="0"/>
        <w:adjustRightInd w:val="0"/>
        <w:ind w:left="1440" w:hanging="720"/>
      </w:pPr>
    </w:p>
    <w:p w:rsidR="003E6B60" w:rsidRDefault="003E6B60" w:rsidP="003E6B6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Occupational Safety and Health (OSHA) Standards (29 CFR 1910). </w:t>
      </w:r>
    </w:p>
    <w:p w:rsidR="005A0B9B" w:rsidRDefault="005A0B9B" w:rsidP="003E6B60">
      <w:pPr>
        <w:widowControl w:val="0"/>
        <w:autoSpaceDE w:val="0"/>
        <w:autoSpaceDN w:val="0"/>
        <w:adjustRightInd w:val="0"/>
        <w:ind w:left="1440" w:hanging="720"/>
      </w:pPr>
    </w:p>
    <w:p w:rsidR="003E6B60" w:rsidRDefault="003E6B60" w:rsidP="003E6B6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Department of Transportation federal regulations (49 CFR 238). </w:t>
      </w:r>
    </w:p>
    <w:sectPr w:rsidR="003E6B60" w:rsidSect="003E6B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B60"/>
    <w:rsid w:val="003E6B60"/>
    <w:rsid w:val="005A0B9B"/>
    <w:rsid w:val="005C3366"/>
    <w:rsid w:val="005F6BE0"/>
    <w:rsid w:val="009F4EC0"/>
    <w:rsid w:val="00ED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 1253</vt:lpstr>
    </vt:vector>
  </TitlesOfParts>
  <Company>General Assembly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 1253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